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91" w:type="dxa"/>
        <w:jc w:val="left"/>
        <w:tblInd w:w="0" w:type="dxa"/>
        <w:tblLayout w:type="fixed"/>
        <w:tblCellMar>
          <w:top w:w="28" w:type="dxa"/>
          <w:left w:w="28" w:type="dxa"/>
          <w:bottom w:w="28" w:type="dxa"/>
          <w:right w:w="28" w:type="dxa"/>
        </w:tblCellMar>
      </w:tblPr>
      <w:tblGrid>
        <w:gridCol w:w="6091"/>
      </w:tblGrid>
      <w:tr>
        <w:trPr/>
        <w:tc>
          <w:tcPr>
            <w:tcW w:w="609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9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left"/>
              <w:rPr/>
            </w:pPr>
            <w:r>
              <w:rPr/>
              <w:t xml:space="preserve">UNDER THE SECURITIES EXCHANGE ACT OF 1934 </w:t>
            </w:r>
          </w:p>
        </w:tc>
      </w:tr>
      <w:tr>
        <w:trPr/>
        <w:tc>
          <w:tcPr>
            <w:tcW w:w="6091"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9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Canaan XI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53,867,115 shares of Common Stock outstanding as of February 25, 2026, as disclosed in the Issuer's Annual Report on Form 10-K filed with the Securities and Exchange Commission on March 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Canaan Partners XI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53,867,115 shares of Common Stock outstanding as of February 25, 2026, as disclosed in the Issuer's Annual Report on Form 10-K filed with the Securities and Exchange Commission on March 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Canaan 2020+ Co-Investment L.P. - Series 7</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Canaan Partners 2020+ Co-Investment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 92008</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(i) Canaan XI L.P., a Cayman Islands limited partnership ( "Canaan XI"); (ii) Canaan Partners XI LLC, a Delaware limited liability company ("Canaan XI GP"); (iii) Canaan 2020+ Co-Investment L.P. - Series 7, a Delaware limited partnership ("Canaan Series 7"); and (iv) Canaan Partners 2020+ Co-Investment, LLC, a Delaware limited liability company ("Canaan 2020+ GP").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855 Oak Grove, Suite 201,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Canaan XI directly owns 750,000 shares of Common Stock, which represents approximately 1.4% of the outstanding shares of Common Stock. (ii) Canaan XI GP is the general partner of Canaan XI and may be deemed to beneficially own 750,000 shares of Common Stock, which represents approximately 1.4% of the outstanding shares of Common Stock. (iii) Canaan Series 7 no longer beneficially owns any shares of Common Stock as of March 31, 2026. (iv) Canaan 2020+ GP is the general partner of Canaan Series 7 and no longer beneficially owns any shares of Common Stock as of March 31, 2026.</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 of class of the outstanding shares of Common Stock beneficially owned by the Reporting Persons in Item 4(a) are based on 53,867,115 shares of Common Stock outstanding as of February 25, 2026, as disclosed in the Issuer's Annual Report on Form 10-K filed with the Securities and Exchange Commission on March 2, 2026.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Canaan XI: 750,000 shares of Common Stock; (2) Canaan XI GP: 750,000 shares of Common Stock; (3) Canaan Series 7: 0 shares of Common Stock; and (4) Canaan 2020+ GP: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Canaan XI: 750,000 shares of Common Stock; (2) Canaan XI GP: 750,000 shares of Common Stock; (3) Canaan Series 7: 0 shares of Common Stock; and (4) Canaan 2020+ GP: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Canaan XI L.P.</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Nancy Levenson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Nancy Levenson,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Canaan Partners XI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Nancy Levenson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Nancy Levenson,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9178" w:type="dxa"/>
        <w:jc w:val="left"/>
        <w:tblInd w:w="0" w:type="dxa"/>
        <w:tblLayout w:type="fixed"/>
        <w:tblCellMar>
          <w:top w:w="28" w:type="dxa"/>
          <w:left w:w="28" w:type="dxa"/>
          <w:bottom w:w="28" w:type="dxa"/>
          <w:right w:w="28" w:type="dxa"/>
        </w:tblCellMar>
      </w:tblPr>
      <w:tblGrid>
        <w:gridCol w:w="4589"/>
        <w:gridCol w:w="4589"/>
      </w:tblGrid>
      <w:tr>
        <w:trPr/>
        <w:tc>
          <w:tcPr>
            <w:tcW w:w="4589" w:type="dxa"/>
            <w:tcBorders/>
            <w:vAlign w:val="center"/>
          </w:tcPr>
          <w:p>
            <w:pPr>
              <w:pStyle w:val="TableContents"/>
              <w:bidi w:val="0"/>
              <w:spacing w:before="0" w:after="0"/>
              <w:jc w:val="left"/>
              <w:rPr/>
            </w:pPr>
            <w:r>
              <w:rPr/>
              <w:t> </w:t>
            </w:r>
          </w:p>
          <w:tbl>
            <w:tblPr>
              <w:tblW w:w="4426" w:type="dxa"/>
              <w:jc w:val="left"/>
              <w:tblInd w:w="0" w:type="dxa"/>
              <w:tblLayout w:type="fixed"/>
              <w:tblCellMar>
                <w:top w:w="28" w:type="dxa"/>
                <w:left w:w="28" w:type="dxa"/>
                <w:bottom w:w="28" w:type="dxa"/>
                <w:right w:w="28" w:type="dxa"/>
              </w:tblCellMar>
            </w:tblPr>
            <w:tblGrid>
              <w:gridCol w:w="4426"/>
            </w:tblGrid>
            <w:tr>
              <w:trPr/>
              <w:tc>
                <w:tcPr>
                  <w:tcW w:w="4426" w:type="dxa"/>
                  <w:tcBorders/>
                  <w:vAlign w:val="center"/>
                </w:tcPr>
                <w:p>
                  <w:pPr>
                    <w:pStyle w:val="TableContents"/>
                    <w:bidi w:val="0"/>
                    <w:spacing w:before="0" w:after="0"/>
                    <w:jc w:val="left"/>
                    <w:rPr/>
                  </w:pPr>
                  <w:r>
                    <w:rPr/>
                    <w:t>Canaan 2020+ Co-Investment L.P. - Series 7</w:t>
                  </w:r>
                </w:p>
              </w:tc>
            </w:tr>
          </w:tbl>
          <w:p>
            <w:pPr>
              <w:pStyle w:val="TableContents"/>
              <w:bidi w:val="0"/>
              <w:spacing w:before="0" w:after="283"/>
              <w:jc w:val="left"/>
              <w:rPr/>
            </w:pPr>
            <w:r>
              <w:rPr/>
            </w:r>
          </w:p>
        </w:tc>
        <w:tc>
          <w:tcPr>
            <w:tcW w:w="45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Nancy Levenson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Nancy Levenson,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Canaan Partners 2020+ Co-Investment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Nancy Levenson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Nancy Levenson,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1411</Words>
  <Characters>7238</Characters>
  <CharactersWithSpaces>8586</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