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confidentially submitted to the Securities and Exchange Commission on July 2, 2021</w:t>
      </w:r>
    </w:p>
    <w:p>
      <w:pPr>
        <w:jc w:val="center"/>
        <w:ind w:right="-119"/>
        <w:spacing w:after="0" w:line="226" w:lineRule="auto"/>
        <w:rPr>
          <w:sz w:val="20"/>
          <w:szCs w:val="20"/>
          <w:color w:val="auto"/>
        </w:rPr>
      </w:pPr>
      <w:r>
        <w:rPr>
          <w:rFonts w:ascii="Arial" w:cs="Arial" w:eastAsia="Arial" w:hAnsi="Arial"/>
          <w:sz w:val="14"/>
          <w:szCs w:val="14"/>
          <w:b w:val="1"/>
          <w:bCs w:val="1"/>
          <w:color w:val="auto"/>
        </w:rPr>
        <w:t>as Amendment No. 1 to the draft Registration Statement.</w:t>
      </w: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99060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100330</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TYRA BIOSCIENCES, INC.</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2"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jc w:val="center"/>
              <w:ind w:right="931"/>
              <w:spacing w:after="0"/>
              <w:rPr>
                <w:sz w:val="20"/>
                <w:szCs w:val="20"/>
                <w:color w:val="auto"/>
              </w:rPr>
            </w:pPr>
            <w:r>
              <w:rPr>
                <w:rFonts w:ascii="Arial" w:cs="Arial" w:eastAsia="Arial" w:hAnsi="Arial"/>
                <w:sz w:val="14"/>
                <w:szCs w:val="14"/>
                <w:b w:val="1"/>
                <w:bCs w:val="1"/>
                <w:color w:val="auto"/>
                <w:w w:val="94"/>
              </w:rPr>
              <w:t>Delaware</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00" w:type="dxa"/>
            <w:vAlign w:val="bottom"/>
          </w:tcPr>
          <w:p>
            <w:pPr>
              <w:jc w:val="center"/>
              <w:ind w:left="991"/>
              <w:spacing w:after="0"/>
              <w:rPr>
                <w:sz w:val="20"/>
                <w:szCs w:val="20"/>
                <w:color w:val="auto"/>
              </w:rPr>
            </w:pPr>
            <w:r>
              <w:rPr>
                <w:rFonts w:ascii="Arial" w:cs="Arial" w:eastAsia="Arial" w:hAnsi="Arial"/>
                <w:sz w:val="14"/>
                <w:szCs w:val="14"/>
                <w:b w:val="1"/>
                <w:bCs w:val="1"/>
                <w:color w:val="auto"/>
                <w:w w:val="93"/>
              </w:rPr>
              <w:t>83-1476348</w:t>
            </w:r>
          </w:p>
        </w:tc>
      </w:tr>
      <w:tr>
        <w:trPr>
          <w:trHeight w:val="148"/>
        </w:trPr>
        <w:tc>
          <w:tcPr>
            <w:tcW w:w="2780" w:type="dxa"/>
            <w:vAlign w:val="bottom"/>
          </w:tcPr>
          <w:p>
            <w:pPr>
              <w:jc w:val="center"/>
              <w:ind w:right="951"/>
              <w:spacing w:after="0"/>
              <w:rPr>
                <w:sz w:val="20"/>
                <w:szCs w:val="20"/>
                <w:color w:val="auto"/>
              </w:rPr>
            </w:pPr>
            <w:r>
              <w:rPr>
                <w:rFonts w:ascii="Arial" w:cs="Arial" w:eastAsia="Arial" w:hAnsi="Arial"/>
                <w:sz w:val="13"/>
                <w:szCs w:val="13"/>
                <w:b w:val="1"/>
                <w:bCs w:val="1"/>
                <w:color w:val="auto"/>
                <w:w w:val="94"/>
              </w:rPr>
              <w:t>(State or other jurisdiction of</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8"/>
              </w:rPr>
              <w:t>(Primary Standard Industrial</w:t>
            </w:r>
          </w:p>
        </w:tc>
        <w:tc>
          <w:tcPr>
            <w:tcW w:w="2400" w:type="dxa"/>
            <w:vAlign w:val="bottom"/>
          </w:tcPr>
          <w:p>
            <w:pPr>
              <w:jc w:val="center"/>
              <w:ind w:left="991"/>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780" w:type="dxa"/>
            <w:vAlign w:val="bottom"/>
          </w:tcPr>
          <w:p>
            <w:pPr>
              <w:jc w:val="center"/>
              <w:ind w:right="951"/>
              <w:spacing w:after="0"/>
              <w:rPr>
                <w:sz w:val="20"/>
                <w:szCs w:val="20"/>
                <w:color w:val="auto"/>
              </w:rPr>
            </w:pPr>
            <w:r>
              <w:rPr>
                <w:rFonts w:ascii="Arial" w:cs="Arial" w:eastAsia="Arial" w:hAnsi="Arial"/>
                <w:sz w:val="13"/>
                <w:szCs w:val="13"/>
                <w:b w:val="1"/>
                <w:bCs w:val="1"/>
                <w:color w:val="auto"/>
                <w:w w:val="94"/>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4"/>
              </w:rPr>
              <w:t>Classification Code Number)</w:t>
            </w:r>
          </w:p>
        </w:tc>
        <w:tc>
          <w:tcPr>
            <w:tcW w:w="2400" w:type="dxa"/>
            <w:vAlign w:val="bottom"/>
          </w:tcPr>
          <w:p>
            <w:pPr>
              <w:jc w:val="center"/>
              <w:ind w:left="991"/>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2333 State Street, Suite 201</w:t>
      </w:r>
    </w:p>
    <w:p>
      <w:pPr>
        <w:jc w:val="center"/>
        <w:ind w:right="-119"/>
        <w:spacing w:after="0" w:line="226" w:lineRule="auto"/>
        <w:rPr>
          <w:sz w:val="20"/>
          <w:szCs w:val="20"/>
          <w:color w:val="auto"/>
        </w:rPr>
      </w:pPr>
      <w:r>
        <w:rPr>
          <w:rFonts w:ascii="Arial" w:cs="Arial" w:eastAsia="Arial" w:hAnsi="Arial"/>
          <w:sz w:val="14"/>
          <w:szCs w:val="14"/>
          <w:b w:val="1"/>
          <w:bCs w:val="1"/>
          <w:color w:val="auto"/>
        </w:rPr>
        <w:t>Carlsbad, CA 92008</w:t>
      </w:r>
    </w:p>
    <w:p>
      <w:pPr>
        <w:jc w:val="center"/>
        <w:ind w:right="-119"/>
        <w:spacing w:after="0" w:line="233" w:lineRule="auto"/>
        <w:rPr>
          <w:sz w:val="20"/>
          <w:szCs w:val="20"/>
          <w:color w:val="auto"/>
        </w:rPr>
      </w:pPr>
      <w:r>
        <w:rPr>
          <w:rFonts w:ascii="Arial" w:cs="Arial" w:eastAsia="Arial" w:hAnsi="Arial"/>
          <w:sz w:val="14"/>
          <w:szCs w:val="14"/>
          <w:b w:val="1"/>
          <w:bCs w:val="1"/>
          <w:color w:val="auto"/>
        </w:rPr>
        <w:t>(619) 728-4760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92710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Todd Harris, Ph.D.</w:t>
      </w:r>
    </w:p>
    <w:p>
      <w:pPr>
        <w:jc w:val="center"/>
        <w:ind w:right="-1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Tyra Biosciences, Inc.</w:t>
      </w:r>
    </w:p>
    <w:p>
      <w:pPr>
        <w:jc w:val="center"/>
        <w:ind w:right="-119"/>
        <w:spacing w:after="0" w:line="222" w:lineRule="auto"/>
        <w:rPr>
          <w:sz w:val="20"/>
          <w:szCs w:val="20"/>
          <w:color w:val="auto"/>
        </w:rPr>
      </w:pPr>
      <w:r>
        <w:rPr>
          <w:rFonts w:ascii="Arial" w:cs="Arial" w:eastAsia="Arial" w:hAnsi="Arial"/>
          <w:sz w:val="14"/>
          <w:szCs w:val="14"/>
          <w:b w:val="1"/>
          <w:bCs w:val="1"/>
          <w:color w:val="auto"/>
        </w:rPr>
        <w:t>2333 State Street, Suite 201</w:t>
      </w:r>
    </w:p>
    <w:p>
      <w:pPr>
        <w:jc w:val="center"/>
        <w:ind w:right="-119"/>
        <w:spacing w:after="0" w:line="221" w:lineRule="auto"/>
        <w:rPr>
          <w:sz w:val="20"/>
          <w:szCs w:val="20"/>
          <w:color w:val="auto"/>
        </w:rPr>
      </w:pPr>
      <w:r>
        <w:rPr>
          <w:rFonts w:ascii="Arial" w:cs="Arial" w:eastAsia="Arial" w:hAnsi="Arial"/>
          <w:sz w:val="14"/>
          <w:szCs w:val="14"/>
          <w:b w:val="1"/>
          <w:bCs w:val="1"/>
          <w:color w:val="auto"/>
        </w:rPr>
        <w:t>Carlsbad, California 92008</w:t>
      </w:r>
    </w:p>
    <w:p>
      <w:pPr>
        <w:jc w:val="center"/>
        <w:ind w:right="-119"/>
        <w:spacing w:after="0" w:line="233" w:lineRule="auto"/>
        <w:rPr>
          <w:sz w:val="20"/>
          <w:szCs w:val="20"/>
          <w:color w:val="auto"/>
        </w:rPr>
      </w:pPr>
      <w:r>
        <w:rPr>
          <w:rFonts w:ascii="Arial" w:cs="Arial" w:eastAsia="Arial" w:hAnsi="Arial"/>
          <w:sz w:val="14"/>
          <w:szCs w:val="14"/>
          <w:b w:val="1"/>
          <w:bCs w:val="1"/>
          <w:color w:val="auto"/>
        </w:rPr>
        <w:t>(619) 728-4760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92710</wp:posOffset>
            </wp:positionV>
            <wp:extent cx="140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62" w:lineRule="exact"/>
        <w:rPr>
          <w:sz w:val="24"/>
          <w:szCs w:val="24"/>
          <w:color w:val="auto"/>
        </w:rPr>
      </w:pPr>
    </w:p>
    <w:tbl>
      <w:tblPr>
        <w:tblLayout w:type="fixed"/>
        <w:tblInd w:w="2040" w:type="dxa"/>
        <w:tblCellMar>
          <w:top w:w="0" w:type="dxa"/>
          <w:left w:w="0" w:type="dxa"/>
          <w:bottom w:w="0" w:type="dxa"/>
          <w:right w:w="0" w:type="dxa"/>
        </w:tblCellMar>
      </w:tblPr>
      <w:tr>
        <w:trPr>
          <w:trHeight w:val="182"/>
        </w:trPr>
        <w:tc>
          <w:tcPr>
            <w:tcW w:w="2500" w:type="dxa"/>
            <w:vAlign w:val="bottom"/>
          </w:tcPr>
          <w:p>
            <w:pPr>
              <w:spacing w:after="0"/>
              <w:rPr>
                <w:sz w:val="15"/>
                <w:szCs w:val="15"/>
                <w:color w:val="auto"/>
              </w:rPr>
            </w:pPr>
          </w:p>
        </w:tc>
        <w:tc>
          <w:tcPr>
            <w:tcW w:w="492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Copies to:</w:t>
            </w:r>
          </w:p>
        </w:tc>
      </w:tr>
      <w:tr>
        <w:trPr>
          <w:trHeight w:val="151"/>
        </w:trPr>
        <w:tc>
          <w:tcPr>
            <w:tcW w:w="2500" w:type="dxa"/>
            <w:vAlign w:val="bottom"/>
          </w:tcPr>
          <w:p>
            <w:pPr>
              <w:jc w:val="center"/>
              <w:ind w:right="728"/>
              <w:spacing w:after="0" w:line="151" w:lineRule="exact"/>
              <w:rPr>
                <w:sz w:val="20"/>
                <w:szCs w:val="20"/>
                <w:color w:val="auto"/>
              </w:rPr>
            </w:pPr>
            <w:r>
              <w:rPr>
                <w:rFonts w:ascii="Arial" w:cs="Arial" w:eastAsia="Arial" w:hAnsi="Arial"/>
                <w:sz w:val="14"/>
                <w:szCs w:val="14"/>
                <w:b w:val="1"/>
                <w:bCs w:val="1"/>
                <w:color w:val="auto"/>
                <w:w w:val="95"/>
              </w:rPr>
              <w:t>Matthew T. Bush</w:t>
            </w:r>
          </w:p>
        </w:tc>
        <w:tc>
          <w:tcPr>
            <w:tcW w:w="4920" w:type="dxa"/>
            <w:vAlign w:val="bottom"/>
          </w:tcPr>
          <w:p>
            <w:pPr>
              <w:jc w:val="center"/>
              <w:ind w:left="2848"/>
              <w:spacing w:after="0" w:line="151" w:lineRule="exact"/>
              <w:rPr>
                <w:sz w:val="20"/>
                <w:szCs w:val="20"/>
                <w:color w:val="auto"/>
              </w:rPr>
            </w:pPr>
            <w:r>
              <w:rPr>
                <w:rFonts w:ascii="Arial" w:cs="Arial" w:eastAsia="Arial" w:hAnsi="Arial"/>
                <w:sz w:val="14"/>
                <w:szCs w:val="14"/>
                <w:b w:val="1"/>
                <w:bCs w:val="1"/>
                <w:color w:val="auto"/>
                <w:w w:val="95"/>
              </w:rPr>
              <w:t>Frank F. Rahmani</w:t>
            </w:r>
          </w:p>
        </w:tc>
      </w:tr>
      <w:tr>
        <w:trPr>
          <w:trHeight w:val="149"/>
        </w:trPr>
        <w:tc>
          <w:tcPr>
            <w:tcW w:w="250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1"/>
              </w:rPr>
              <w:t>Cheston J. Larson</w:t>
            </w:r>
          </w:p>
        </w:tc>
        <w:tc>
          <w:tcPr>
            <w:tcW w:w="4920" w:type="dxa"/>
            <w:vAlign w:val="bottom"/>
          </w:tcPr>
          <w:p>
            <w:pPr>
              <w:jc w:val="center"/>
              <w:ind w:left="2848"/>
              <w:spacing w:after="0" w:line="149" w:lineRule="exact"/>
              <w:rPr>
                <w:sz w:val="20"/>
                <w:szCs w:val="20"/>
                <w:color w:val="auto"/>
              </w:rPr>
            </w:pPr>
            <w:r>
              <w:rPr>
                <w:rFonts w:ascii="Arial" w:cs="Arial" w:eastAsia="Arial" w:hAnsi="Arial"/>
                <w:sz w:val="14"/>
                <w:szCs w:val="14"/>
                <w:b w:val="1"/>
                <w:bCs w:val="1"/>
                <w:color w:val="auto"/>
                <w:w w:val="95"/>
              </w:rPr>
              <w:t>Samir A. Gandhi</w:t>
            </w:r>
          </w:p>
        </w:tc>
      </w:tr>
      <w:tr>
        <w:trPr>
          <w:trHeight w:val="148"/>
        </w:trPr>
        <w:tc>
          <w:tcPr>
            <w:tcW w:w="250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3"/>
              </w:rPr>
              <w:t>Jeffrey T. Woodley</w:t>
            </w:r>
          </w:p>
        </w:tc>
        <w:tc>
          <w:tcPr>
            <w:tcW w:w="4920" w:type="dxa"/>
            <w:vAlign w:val="bottom"/>
          </w:tcPr>
          <w:p>
            <w:pPr>
              <w:jc w:val="center"/>
              <w:ind w:left="2828"/>
              <w:spacing w:after="0" w:line="149" w:lineRule="exact"/>
              <w:rPr>
                <w:sz w:val="20"/>
                <w:szCs w:val="20"/>
                <w:color w:val="auto"/>
              </w:rPr>
            </w:pPr>
            <w:r>
              <w:rPr>
                <w:rFonts w:ascii="Arial" w:cs="Arial" w:eastAsia="Arial" w:hAnsi="Arial"/>
                <w:sz w:val="14"/>
                <w:szCs w:val="14"/>
                <w:b w:val="1"/>
                <w:bCs w:val="1"/>
                <w:color w:val="auto"/>
                <w:w w:val="92"/>
              </w:rPr>
              <w:t>Alexander E. Csordas</w:t>
            </w:r>
          </w:p>
        </w:tc>
      </w:tr>
      <w:tr>
        <w:trPr>
          <w:trHeight w:val="149"/>
        </w:trPr>
        <w:tc>
          <w:tcPr>
            <w:tcW w:w="250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rPr>
              <w:t>Latham &amp; Watkins LLP</w:t>
            </w:r>
          </w:p>
        </w:tc>
        <w:tc>
          <w:tcPr>
            <w:tcW w:w="4920" w:type="dxa"/>
            <w:vAlign w:val="bottom"/>
          </w:tcPr>
          <w:p>
            <w:pPr>
              <w:jc w:val="center"/>
              <w:ind w:left="2848"/>
              <w:spacing w:after="0" w:line="149" w:lineRule="exact"/>
              <w:rPr>
                <w:sz w:val="20"/>
                <w:szCs w:val="20"/>
                <w:color w:val="auto"/>
              </w:rPr>
            </w:pPr>
            <w:r>
              <w:rPr>
                <w:rFonts w:ascii="Arial" w:cs="Arial" w:eastAsia="Arial" w:hAnsi="Arial"/>
                <w:sz w:val="14"/>
                <w:szCs w:val="14"/>
                <w:b w:val="1"/>
                <w:bCs w:val="1"/>
                <w:color w:val="auto"/>
                <w:w w:val="94"/>
              </w:rPr>
              <w:t>Sidley Austin LLP</w:t>
            </w:r>
          </w:p>
        </w:tc>
      </w:tr>
      <w:tr>
        <w:trPr>
          <w:trHeight w:val="148"/>
        </w:trPr>
        <w:tc>
          <w:tcPr>
            <w:tcW w:w="250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6"/>
              </w:rPr>
              <w:t>12670 High Bluff Drive</w:t>
            </w:r>
          </w:p>
        </w:tc>
        <w:tc>
          <w:tcPr>
            <w:tcW w:w="4920" w:type="dxa"/>
            <w:vAlign w:val="bottom"/>
          </w:tcPr>
          <w:p>
            <w:pPr>
              <w:jc w:val="center"/>
              <w:ind w:left="2848"/>
              <w:spacing w:after="0" w:line="149" w:lineRule="exact"/>
              <w:rPr>
                <w:sz w:val="20"/>
                <w:szCs w:val="20"/>
                <w:color w:val="auto"/>
              </w:rPr>
            </w:pPr>
            <w:r>
              <w:rPr>
                <w:rFonts w:ascii="Arial" w:cs="Arial" w:eastAsia="Arial" w:hAnsi="Arial"/>
                <w:sz w:val="14"/>
                <w:szCs w:val="14"/>
                <w:b w:val="1"/>
                <w:bCs w:val="1"/>
                <w:color w:val="auto"/>
                <w:w w:val="94"/>
              </w:rPr>
              <w:t>555 California Street, Suite 2000</w:t>
            </w:r>
          </w:p>
        </w:tc>
      </w:tr>
      <w:tr>
        <w:trPr>
          <w:trHeight w:val="148"/>
        </w:trPr>
        <w:tc>
          <w:tcPr>
            <w:tcW w:w="250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3"/>
              </w:rPr>
              <w:t>San Diego, California 92130</w:t>
            </w:r>
          </w:p>
        </w:tc>
        <w:tc>
          <w:tcPr>
            <w:tcW w:w="4920" w:type="dxa"/>
            <w:vAlign w:val="bottom"/>
          </w:tcPr>
          <w:p>
            <w:pPr>
              <w:jc w:val="center"/>
              <w:ind w:left="2848"/>
              <w:spacing w:after="0" w:line="149" w:lineRule="exact"/>
              <w:rPr>
                <w:sz w:val="20"/>
                <w:szCs w:val="20"/>
                <w:color w:val="auto"/>
              </w:rPr>
            </w:pPr>
            <w:r>
              <w:rPr>
                <w:rFonts w:ascii="Arial" w:cs="Arial" w:eastAsia="Arial" w:hAnsi="Arial"/>
                <w:sz w:val="14"/>
                <w:szCs w:val="14"/>
                <w:b w:val="1"/>
                <w:bCs w:val="1"/>
                <w:color w:val="auto"/>
                <w:w w:val="93"/>
              </w:rPr>
              <w:t>San Francisco, CA 94104</w:t>
            </w:r>
          </w:p>
        </w:tc>
      </w:tr>
      <w:tr>
        <w:trPr>
          <w:trHeight w:val="186"/>
        </w:trPr>
        <w:tc>
          <w:tcPr>
            <w:tcW w:w="2500" w:type="dxa"/>
            <w:vAlign w:val="bottom"/>
          </w:tcPr>
          <w:p>
            <w:pPr>
              <w:jc w:val="center"/>
              <w:ind w:right="728"/>
              <w:spacing w:after="0"/>
              <w:rPr>
                <w:sz w:val="20"/>
                <w:szCs w:val="20"/>
                <w:color w:val="auto"/>
              </w:rPr>
            </w:pPr>
            <w:r>
              <w:rPr>
                <w:rFonts w:ascii="Arial" w:cs="Arial" w:eastAsia="Arial" w:hAnsi="Arial"/>
                <w:sz w:val="14"/>
                <w:szCs w:val="14"/>
                <w:b w:val="1"/>
                <w:bCs w:val="1"/>
                <w:color w:val="auto"/>
                <w:w w:val="93"/>
              </w:rPr>
              <w:t>(858) 523-5400</w:t>
            </w:r>
          </w:p>
        </w:tc>
        <w:tc>
          <w:tcPr>
            <w:tcW w:w="4920" w:type="dxa"/>
            <w:vAlign w:val="bottom"/>
          </w:tcPr>
          <w:p>
            <w:pPr>
              <w:jc w:val="center"/>
              <w:ind w:left="2828"/>
              <w:spacing w:after="0"/>
              <w:rPr>
                <w:sz w:val="20"/>
                <w:szCs w:val="20"/>
                <w:color w:val="auto"/>
              </w:rPr>
            </w:pPr>
            <w:r>
              <w:rPr>
                <w:rFonts w:ascii="Arial" w:cs="Arial" w:eastAsia="Arial" w:hAnsi="Arial"/>
                <w:sz w:val="14"/>
                <w:szCs w:val="14"/>
                <w:b w:val="1"/>
                <w:bCs w:val="1"/>
                <w:color w:val="auto"/>
                <w:w w:val="93"/>
              </w:rPr>
              <w:t>(650) 565-7000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93345</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45"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ind w:left="120" w:right="320" w:firstLine="88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40" w:firstLine="88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140"/>
          </w:cols>
          <w:pgMar w:left="320" w:top="230" w:right="439" w:bottom="1440" w:gutter="0" w:footer="0" w:header="0"/>
        </w:sectPr>
      </w:pPr>
    </w:p>
    <w:p>
      <w:pPr>
        <w:spacing w:after="0" w:line="1" w:lineRule="exact"/>
        <w:rPr>
          <w:sz w:val="24"/>
          <w:szCs w:val="24"/>
          <w:color w:val="auto"/>
        </w:rPr>
      </w:pPr>
    </w:p>
    <w:p>
      <w:pPr>
        <w:ind w:left="120" w:right="20" w:firstLine="88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firstLine="88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20" w:firstLine="881"/>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20"/>
        <w:spacing w:after="0" w:line="161" w:lineRule="exact"/>
        <w:tabs>
          <w:tab w:leader="none" w:pos="2100" w:val="left"/>
          <w:tab w:leader="none" w:pos="8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35" w:lineRule="exact"/>
        <w:rPr>
          <w:sz w:val="24"/>
          <w:szCs w:val="24"/>
          <w:color w:val="auto"/>
        </w:rPr>
      </w:pPr>
    </w:p>
    <w:p>
      <w:pPr>
        <w:ind w:left="120"/>
        <w:spacing w:after="0" w:line="161" w:lineRule="exact"/>
        <w:tabs>
          <w:tab w:leader="none" w:pos="2100" w:val="left"/>
          <w:tab w:leader="none" w:pos="85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09" w:lineRule="exact"/>
        <w:rPr>
          <w:sz w:val="24"/>
          <w:szCs w:val="24"/>
          <w:color w:val="auto"/>
        </w:rPr>
      </w:pPr>
    </w:p>
    <w:p>
      <w:pPr>
        <w:ind w:left="86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2">
            <w:col w:w="10840" w:space="80"/>
            <w:col w:w="220"/>
          </w:cols>
          <w:pgMar w:left="320" w:top="230" w:right="439" w:bottom="1440" w:gutter="0" w:footer="0" w:header="0"/>
          <w:type w:val="continuous"/>
        </w:sectPr>
      </w:pPr>
    </w:p>
    <w:p>
      <w:pPr>
        <w:ind w:left="120" w:right="140" w:firstLine="881"/>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05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3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ind w:left="9"/>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6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3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8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6"/>
              </w:rPr>
              <w:t>Offering Price(1)</w:t>
            </w:r>
          </w:p>
        </w:tc>
        <w:tc>
          <w:tcPr>
            <w:tcW w:w="186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56"/>
        </w:trPr>
        <w:tc>
          <w:tcPr>
            <w:tcW w:w="730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Common Stock, par value $0.0001 per share</w:t>
            </w:r>
          </w:p>
        </w:tc>
        <w:tc>
          <w:tcPr>
            <w:tcW w:w="1860" w:type="dxa"/>
            <w:vAlign w:val="bottom"/>
            <w:tcBorders>
              <w:bottom w:val="single" w:sz="8" w:color="auto"/>
              <w:right w:val="single" w:sz="8" w:color="auto"/>
            </w:tcBorders>
          </w:tcPr>
          <w:p>
            <w:pPr>
              <w:jc w:val="right"/>
              <w:ind w:right="1009"/>
              <w:spacing w:after="0" w:line="156" w:lineRule="exact"/>
              <w:rPr>
                <w:sz w:val="20"/>
                <w:szCs w:val="20"/>
                <w:color w:val="auto"/>
              </w:rPr>
            </w:pPr>
            <w:r>
              <w:rPr>
                <w:rFonts w:ascii="Arial" w:cs="Arial" w:eastAsia="Arial" w:hAnsi="Arial"/>
                <w:sz w:val="15"/>
                <w:szCs w:val="15"/>
                <w:color w:val="auto"/>
              </w:rPr>
              <w:t>$</w:t>
            </w:r>
          </w:p>
        </w:tc>
        <w:tc>
          <w:tcPr>
            <w:tcW w:w="1860" w:type="dxa"/>
            <w:vAlign w:val="bottom"/>
            <w:tcBorders>
              <w:bottom w:val="single" w:sz="8" w:color="auto"/>
            </w:tcBorders>
          </w:tcPr>
          <w:p>
            <w:pPr>
              <w:jc w:val="right"/>
              <w:ind w:right="1007"/>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40" w:hanging="424"/>
        <w:spacing w:after="0" w:line="226"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offering price of shares that the underwriters may purchase pursuant to an option to purchase additional shares.</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4" w:lineRule="exact"/>
        <w:rPr>
          <w:sz w:val="24"/>
          <w:szCs w:val="24"/>
          <w:color w:val="auto"/>
        </w:rPr>
      </w:pPr>
    </w:p>
    <w:p>
      <w:pPr>
        <w:ind w:left="120" w:right="160" w:firstLine="881"/>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116" w:lineRule="exact"/>
        <w:rPr>
          <w:sz w:val="20"/>
          <w:szCs w:val="20"/>
          <w:color w:val="auto"/>
        </w:rPr>
      </w:pPr>
    </w:p>
    <w:tbl>
      <w:tblPr>
        <w:tblLayout w:type="fixed"/>
        <w:tblInd w:w="3880" w:type="dxa"/>
        <w:tblCellMar>
          <w:top w:w="0" w:type="dxa"/>
          <w:left w:w="0" w:type="dxa"/>
          <w:bottom w:w="0" w:type="dxa"/>
          <w:right w:w="0" w:type="dxa"/>
        </w:tblCellMar>
      </w:tblPr>
      <w:tr>
        <w:trPr>
          <w:trHeight w:val="216"/>
        </w:trPr>
        <w:tc>
          <w:tcPr>
            <w:tcW w:w="2820" w:type="dxa"/>
            <w:vAlign w:val="bottom"/>
          </w:tcPr>
          <w:p>
            <w:pPr>
              <w:ind w:left="920"/>
              <w:spacing w:after="0"/>
              <w:rPr>
                <w:sz w:val="20"/>
                <w:szCs w:val="20"/>
                <w:color w:val="auto"/>
              </w:rPr>
            </w:pPr>
            <w:r>
              <w:rPr>
                <w:rFonts w:ascii="Arial" w:cs="Arial" w:eastAsia="Arial" w:hAnsi="Arial"/>
                <w:sz w:val="18"/>
                <w:szCs w:val="18"/>
                <w:color w:val="C21128"/>
              </w:rPr>
              <w:t>Subject to Completion,</w:t>
            </w:r>
          </w:p>
        </w:tc>
        <w:tc>
          <w:tcPr>
            <w:tcW w:w="68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C21128"/>
              </w:rPr>
              <w:t>Preliminary Prospectus dated</w:t>
            </w:r>
          </w:p>
        </w:tc>
        <w:tc>
          <w:tcPr>
            <w:tcW w:w="680" w:type="dxa"/>
            <w:vAlign w:val="bottom"/>
          </w:tcPr>
          <w:p>
            <w:pPr>
              <w:jc w:val="right"/>
              <w:spacing w:after="0"/>
              <w:rPr>
                <w:sz w:val="20"/>
                <w:szCs w:val="20"/>
                <w:color w:val="auto"/>
              </w:rPr>
            </w:pPr>
            <w:r>
              <w:rPr>
                <w:rFonts w:ascii="Arial" w:cs="Arial" w:eastAsia="Arial" w:hAnsi="Arial"/>
                <w:sz w:val="18"/>
                <w:szCs w:val="18"/>
                <w:color w:val="C21128"/>
              </w:rPr>
              <w:t>, 2021</w:t>
            </w: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PROSPECTUS</w:t>
      </w:r>
    </w:p>
    <w:p>
      <w:pPr>
        <w:spacing w:after="0" w:line="306" w:lineRule="exact"/>
        <w:rPr>
          <w:sz w:val="20"/>
          <w:szCs w:val="20"/>
          <w:color w:val="auto"/>
        </w:rPr>
      </w:pPr>
    </w:p>
    <w:p>
      <w:pPr>
        <w:ind w:left="56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118110</wp:posOffset>
            </wp:positionV>
            <wp:extent cx="180022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2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243205</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This is Tyra Biosciences, Inc.’s initial public offering. We are selling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w:t>
      </w:r>
    </w:p>
    <w:p>
      <w:pPr>
        <w:spacing w:after="0" w:line="200" w:lineRule="exact"/>
        <w:rPr>
          <w:sz w:val="20"/>
          <w:szCs w:val="20"/>
          <w:color w:val="auto"/>
        </w:rPr>
      </w:pPr>
    </w:p>
    <w:p>
      <w:pPr>
        <w:sectPr>
          <w:pgSz w:w="11900" w:h="16838" w:orient="portrait"/>
          <w:cols w:equalWidth="0" w:num="2">
            <w:col w:w="5940" w:space="620"/>
            <w:col w:w="4580"/>
          </w:cols>
          <w:pgMar w:left="320" w:top="459" w:right="439" w:bottom="1440" w:gutter="0" w:footer="0" w:header="0"/>
          <w:type w:val="continuous"/>
        </w:sectPr>
      </w:pPr>
    </w:p>
    <w:p>
      <w:pPr>
        <w:spacing w:after="0" w:line="48"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Prior to this offering, there has been no public market for our common stock. It is currently estimated that the initial public offering price per share will be between $ and $ . We intend to list our common stock on the Nasdaq Global Market under the symbol “TYRA.”</w:t>
      </w:r>
    </w:p>
    <w:p>
      <w:pPr>
        <w:sectPr>
          <w:pgSz w:w="11900" w:h="16838" w:orient="portrait"/>
          <w:cols w:equalWidth="0" w:num="1">
            <w:col w:w="11140"/>
          </w:cols>
          <w:pgMar w:left="320" w:top="459" w:right="439" w:bottom="1440" w:gutter="0" w:footer="0" w:header="0"/>
          <w:type w:val="continuous"/>
        </w:sectPr>
      </w:pPr>
    </w:p>
    <w:p>
      <w:pPr>
        <w:spacing w:after="0" w:line="146"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are an emerging growth company under the federal securities laws and are subject to reduced public company disclosure standards. See “Prospectus Summary—Implications of Being an Emerging Growth Company and a Smaller Reporting Company.”</w:t>
      </w:r>
    </w:p>
    <w:p>
      <w:pPr>
        <w:spacing w:after="0" w:line="157" w:lineRule="exact"/>
        <w:rPr>
          <w:sz w:val="20"/>
          <w:szCs w:val="20"/>
          <w:color w:val="auto"/>
        </w:rPr>
      </w:pPr>
    </w:p>
    <w:p>
      <w:pPr>
        <w:ind w:left="120" w:right="360" w:firstLine="88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common stock involves risks that are described in the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beginning on page 11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19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0"/>
        </w:trPr>
        <w:tc>
          <w:tcPr>
            <w:tcW w:w="4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Underwriting discount(1)</w:t>
            </w:r>
          </w:p>
        </w:tc>
        <w:tc>
          <w:tcPr>
            <w:tcW w:w="26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420" w:hanging="427"/>
        <w:spacing w:after="0"/>
        <w:tabs>
          <w:tab w:leader="none" w:pos="1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refer you to the “Underwriting” section of this prospectus for additional information regarding underwriting compensation.</w:t>
      </w:r>
    </w:p>
    <w:p>
      <w:pPr>
        <w:sectPr>
          <w:pgSz w:w="11900" w:h="16838" w:orient="portrait"/>
          <w:cols w:equalWidth="0" w:num="1">
            <w:col w:w="11140"/>
          </w:cols>
          <w:pgMar w:left="320" w:top="459" w:right="439" w:bottom="1440" w:gutter="0" w:footer="0" w:header="0"/>
          <w:type w:val="continuous"/>
        </w:sectPr>
      </w:pPr>
    </w:p>
    <w:p>
      <w:pPr>
        <w:spacing w:after="0" w:line="23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underwriters may also exercise their option to purchase up to an additional underwriting discount, for 30 days after the date of this prospectus.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shares from us, at the public offering price, less the</w:t>
      </w:r>
    </w:p>
    <w:p>
      <w:pPr>
        <w:spacing w:after="0" w:line="463" w:lineRule="exact"/>
        <w:rPr>
          <w:sz w:val="20"/>
          <w:szCs w:val="20"/>
          <w:color w:val="auto"/>
        </w:rPr>
      </w:pPr>
    </w:p>
    <w:p>
      <w:pPr>
        <w:sectPr>
          <w:pgSz w:w="11900" w:h="16838" w:orient="portrait"/>
          <w:cols w:equalWidth="0" w:num="2">
            <w:col w:w="6700" w:space="620"/>
            <w:col w:w="3820"/>
          </w:cols>
          <w:pgMar w:left="320" w:top="459" w:right="439" w:bottom="1440" w:gutter="0" w:footer="0" w:header="0"/>
          <w:type w:val="continuous"/>
        </w:sectPr>
      </w:pPr>
    </w:p>
    <w:p>
      <w:pPr>
        <w:ind w:left="120" w:right="320" w:firstLine="881"/>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400" w:type="dxa"/>
            <w:vAlign w:val="bottom"/>
          </w:tcPr>
          <w:p>
            <w:pPr>
              <w:ind w:left="880"/>
              <w:spacing w:after="0"/>
              <w:rPr>
                <w:sz w:val="20"/>
                <w:szCs w:val="20"/>
                <w:color w:val="auto"/>
              </w:rPr>
            </w:pPr>
            <w:r>
              <w:rPr>
                <w:rFonts w:ascii="Arial" w:cs="Arial" w:eastAsia="Arial" w:hAnsi="Arial"/>
                <w:sz w:val="18"/>
                <w:szCs w:val="18"/>
                <w:color w:val="auto"/>
                <w:w w:val="91"/>
              </w:rPr>
              <w:t>The shares will be ready for delivery on or about</w:t>
            </w:r>
          </w:p>
        </w:tc>
        <w:tc>
          <w:tcPr>
            <w:tcW w:w="2220" w:type="dxa"/>
            <w:vAlign w:val="bottom"/>
          </w:tcPr>
          <w:p>
            <w:pPr>
              <w:jc w:val="right"/>
              <w:ind w:right="506"/>
              <w:spacing w:after="0"/>
              <w:rPr>
                <w:sz w:val="20"/>
                <w:szCs w:val="20"/>
                <w:color w:val="auto"/>
              </w:rPr>
            </w:pPr>
            <w:r>
              <w:rPr>
                <w:rFonts w:ascii="Arial" w:cs="Arial" w:eastAsia="Arial" w:hAnsi="Arial"/>
                <w:sz w:val="18"/>
                <w:szCs w:val="18"/>
                <w:color w:val="auto"/>
              </w:rPr>
              <w:t>, 2021.</w:t>
            </w:r>
          </w:p>
        </w:tc>
        <w:tc>
          <w:tcPr>
            <w:tcW w:w="6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30"/>
        </w:trPr>
        <w:tc>
          <w:tcPr>
            <w:tcW w:w="440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25"/>
        </w:trPr>
        <w:tc>
          <w:tcPr>
            <w:tcW w:w="44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i w:val="1"/>
                <w:iCs w:val="1"/>
                <w:color w:val="auto"/>
                <w:w w:val="93"/>
              </w:rPr>
              <w:t>Joint Book-Running Managers</w:t>
            </w:r>
          </w:p>
        </w:tc>
        <w:tc>
          <w:tcPr>
            <w:tcW w:w="4340" w:type="dxa"/>
            <w:vAlign w:val="bottom"/>
          </w:tcPr>
          <w:p>
            <w:pPr>
              <w:spacing w:after="0"/>
              <w:rPr>
                <w:sz w:val="24"/>
                <w:szCs w:val="24"/>
                <w:color w:val="auto"/>
              </w:rPr>
            </w:pPr>
          </w:p>
        </w:tc>
      </w:tr>
      <w:tr>
        <w:trPr>
          <w:trHeight w:val="839"/>
        </w:trPr>
        <w:tc>
          <w:tcPr>
            <w:tcW w:w="4400" w:type="dxa"/>
            <w:vAlign w:val="bottom"/>
          </w:tcPr>
          <w:p>
            <w:pPr>
              <w:spacing w:after="0"/>
              <w:rPr>
                <w:sz w:val="20"/>
                <w:szCs w:val="20"/>
                <w:color w:val="auto"/>
              </w:rPr>
            </w:pPr>
            <w:r>
              <w:rPr>
                <w:rFonts w:ascii="Arial" w:cs="Arial" w:eastAsia="Arial" w:hAnsi="Arial"/>
                <w:sz w:val="32"/>
                <w:szCs w:val="32"/>
                <w:b w:val="1"/>
                <w:bCs w:val="1"/>
                <w:color w:val="auto"/>
              </w:rPr>
              <w:t>BofA Securities</w:t>
            </w:r>
          </w:p>
        </w:tc>
        <w:tc>
          <w:tcPr>
            <w:tcW w:w="2280" w:type="dxa"/>
            <w:vAlign w:val="bottom"/>
            <w:gridSpan w:val="2"/>
          </w:tcPr>
          <w:p>
            <w:pPr>
              <w:ind w:left="860"/>
              <w:spacing w:after="0"/>
              <w:rPr>
                <w:sz w:val="20"/>
                <w:szCs w:val="20"/>
                <w:color w:val="auto"/>
              </w:rPr>
            </w:pPr>
            <w:r>
              <w:rPr>
                <w:rFonts w:ascii="Arial" w:cs="Arial" w:eastAsia="Arial" w:hAnsi="Arial"/>
                <w:sz w:val="32"/>
                <w:szCs w:val="32"/>
                <w:b w:val="1"/>
                <w:bCs w:val="1"/>
                <w:color w:val="auto"/>
              </w:rPr>
              <w:t>Jefferies</w:t>
            </w:r>
          </w:p>
        </w:tc>
        <w:tc>
          <w:tcPr>
            <w:tcW w:w="4340" w:type="dxa"/>
            <w:vAlign w:val="bottom"/>
          </w:tcPr>
          <w:p>
            <w:pPr>
              <w:jc w:val="right"/>
              <w:spacing w:after="0"/>
              <w:rPr>
                <w:sz w:val="20"/>
                <w:szCs w:val="20"/>
                <w:color w:val="auto"/>
              </w:rPr>
            </w:pPr>
            <w:r>
              <w:rPr>
                <w:rFonts w:ascii="Arial" w:cs="Arial" w:eastAsia="Arial" w:hAnsi="Arial"/>
                <w:sz w:val="32"/>
                <w:szCs w:val="32"/>
                <w:b w:val="1"/>
                <w:bCs w:val="1"/>
                <w:color w:val="auto"/>
              </w:rPr>
              <w:t>Cowen</w:t>
            </w:r>
          </w:p>
        </w:tc>
      </w:tr>
      <w:tr>
        <w:trPr>
          <w:trHeight w:val="214"/>
        </w:trPr>
        <w:tc>
          <w:tcPr>
            <w:tcW w:w="4400" w:type="dxa"/>
            <w:vAlign w:val="bottom"/>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5"/>
        </w:trPr>
        <w:tc>
          <w:tcPr>
            <w:tcW w:w="6680" w:type="dxa"/>
            <w:vAlign w:val="bottom"/>
            <w:gridSpan w:val="3"/>
          </w:tcPr>
          <w:p>
            <w:pPr>
              <w:ind w:left="3760"/>
              <w:spacing w:after="0"/>
              <w:rPr>
                <w:sz w:val="20"/>
                <w:szCs w:val="20"/>
                <w:color w:val="auto"/>
              </w:rPr>
            </w:pPr>
            <w:r>
              <w:rPr>
                <w:rFonts w:ascii="Arial" w:cs="Arial" w:eastAsia="Arial" w:hAnsi="Arial"/>
                <w:sz w:val="18"/>
                <w:szCs w:val="18"/>
                <w:color w:val="auto"/>
              </w:rPr>
              <w:t>The date of this prospectus is</w:t>
            </w:r>
          </w:p>
        </w:tc>
        <w:tc>
          <w:tcPr>
            <w:tcW w:w="4340" w:type="dxa"/>
            <w:vAlign w:val="bottom"/>
          </w:tcPr>
          <w:p>
            <w:pPr>
              <w:jc w:val="right"/>
              <w:ind w:right="3634"/>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860" w:type="dxa"/>
            <w:vAlign w:val="bottom"/>
            <w:gridSpan w:val="2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74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THE OFFERING</w:t>
              </w:r>
            </w:hyperlink>
          </w:p>
        </w:tc>
        <w:tc>
          <w:tcPr>
            <w:tcW w:w="800" w:type="dxa"/>
            <w:vAlign w:val="bottom"/>
            <w:tcBorders>
              <w:top w:val="single" w:sz="8" w:color="0000EE"/>
            </w:tcBorders>
            <w:gridSpan w:val="7"/>
          </w:tcPr>
          <w:p>
            <w:pPr>
              <w:spacing w:after="0"/>
              <w:rPr>
                <w:sz w:val="17"/>
                <w:szCs w:val="17"/>
                <w:color w:val="auto"/>
              </w:rPr>
            </w:pPr>
          </w:p>
        </w:tc>
        <w:tc>
          <w:tcPr>
            <w:tcW w:w="766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SUMMARY FINANCIAL DATA</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7300" w:type="dxa"/>
            <w:vAlign w:val="bottom"/>
            <w:gridSpan w:val="1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SPECIAL NOTE REGARDING FORWARD-LOOKING STATEMENTS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MARKET AND INDUSTRY DATA</w:t>
              </w:r>
            </w:hyperlink>
          </w:p>
        </w:tc>
        <w:tc>
          <w:tcPr>
            <w:tcW w:w="442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USE OF PROCEEDS</w:t>
              </w:r>
            </w:hyperlink>
          </w:p>
        </w:tc>
        <w:tc>
          <w:tcPr>
            <w:tcW w:w="1040" w:type="dxa"/>
            <w:vAlign w:val="bottom"/>
            <w:tcBorders>
              <w:top w:val="single" w:sz="8" w:color="0000EE"/>
            </w:tcBorders>
            <w:gridSpan w:val="4"/>
          </w:tcPr>
          <w:p>
            <w:pPr>
              <w:spacing w:after="0"/>
              <w:rPr>
                <w:sz w:val="17"/>
                <w:szCs w:val="17"/>
                <w:color w:val="auto"/>
              </w:rPr>
            </w:pPr>
          </w:p>
        </w:tc>
        <w:tc>
          <w:tcPr>
            <w:tcW w:w="7100" w:type="dxa"/>
            <w:vAlign w:val="bottom"/>
            <w:gridSpan w:val="1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DIVIDEND POLICY</w:t>
              </w:r>
            </w:hyperlink>
          </w:p>
        </w:tc>
        <w:tc>
          <w:tcPr>
            <w:tcW w:w="8160" w:type="dxa"/>
            <w:vAlign w:val="bottom"/>
            <w:gridSpan w:val="1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83">
              <w:r>
                <w:rPr>
                  <w:rFonts w:ascii="Arial" w:cs="Arial" w:eastAsia="Arial" w:hAnsi="Arial"/>
                  <w:sz w:val="18"/>
                  <w:szCs w:val="18"/>
                  <w:color w:val="0000EE"/>
                  <w:w w:val="99"/>
                </w:rPr>
                <w:t>CAPITALIZATION</w:t>
              </w:r>
            </w:hyperlink>
          </w:p>
        </w:tc>
        <w:tc>
          <w:tcPr>
            <w:tcW w:w="8260" w:type="dxa"/>
            <w:vAlign w:val="bottom"/>
            <w:gridSpan w:val="1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DILUTION</w:t>
              </w:r>
            </w:hyperlink>
          </w:p>
        </w:tc>
        <w:tc>
          <w:tcPr>
            <w:tcW w:w="8880" w:type="dxa"/>
            <w:vAlign w:val="bottom"/>
            <w:gridSpan w:val="2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MANAGEMENT’S DISCUSSION AND ANALYSIS OF FINANCIAL CONDITION AND RESULTS OF OPERATION</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20" w:type="dxa"/>
            <w:vAlign w:val="bottom"/>
          </w:tcPr>
          <w:p>
            <w:pPr>
              <w:spacing w:after="0"/>
              <w:rPr>
                <w:sz w:val="17"/>
                <w:szCs w:val="17"/>
                <w:color w:val="auto"/>
              </w:rPr>
            </w:pPr>
          </w:p>
        </w:tc>
        <w:tc>
          <w:tcPr>
            <w:tcW w:w="88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BUSINESS</w:t>
              </w:r>
            </w:hyperlink>
          </w:p>
        </w:tc>
        <w:tc>
          <w:tcPr>
            <w:tcW w:w="9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43">
              <w:r>
                <w:rPr>
                  <w:rFonts w:ascii="Arial" w:cs="Arial" w:eastAsia="Arial" w:hAnsi="Arial"/>
                  <w:sz w:val="18"/>
                  <w:szCs w:val="18"/>
                  <w:color w:val="0000EE"/>
                  <w:w w:val="99"/>
                </w:rPr>
                <w:t>MANAGEMENT</w:t>
              </w:r>
            </w:hyperlink>
          </w:p>
        </w:tc>
        <w:tc>
          <w:tcPr>
            <w:tcW w:w="8440" w:type="dxa"/>
            <w:vAlign w:val="bottom"/>
            <w:gridSpan w:val="1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152">
              <w:r>
                <w:rPr>
                  <w:rFonts w:ascii="Arial" w:cs="Arial" w:eastAsia="Arial" w:hAnsi="Arial"/>
                  <w:sz w:val="18"/>
                  <w:szCs w:val="18"/>
                  <w:color w:val="0000EE"/>
                  <w:w w:val="96"/>
                </w:rPr>
                <w:t>EXECUTIVE AND DIRECTOR COMPENSATION</w:t>
              </w:r>
            </w:hyperlink>
          </w:p>
        </w:tc>
        <w:tc>
          <w:tcPr>
            <w:tcW w:w="5920" w:type="dxa"/>
            <w:vAlign w:val="bottom"/>
            <w:gridSpan w:val="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1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CERTAIN RELATIONSHIPS AND RELATED PARTY TRANSACTIONS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1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177">
              <w:r>
                <w:rPr>
                  <w:rFonts w:ascii="Arial" w:cs="Arial" w:eastAsia="Arial" w:hAnsi="Arial"/>
                  <w:sz w:val="18"/>
                  <w:szCs w:val="18"/>
                  <w:color w:val="0000EE"/>
                  <w:w w:val="94"/>
                </w:rPr>
                <w:t>PRINCIPAL STOCKHOLDERS</w:t>
              </w:r>
            </w:hyperlink>
          </w:p>
        </w:tc>
        <w:tc>
          <w:tcPr>
            <w:tcW w:w="3080" w:type="dxa"/>
            <w:vAlign w:val="bottom"/>
            <w:tcBorders>
              <w:top w:val="single" w:sz="8" w:color="0000EE"/>
            </w:tcBorders>
            <w:gridSpan w:val="9"/>
          </w:tcPr>
          <w:p>
            <w:pPr>
              <w:spacing w:after="0"/>
              <w:rPr>
                <w:sz w:val="17"/>
                <w:szCs w:val="17"/>
                <w:color w:val="auto"/>
              </w:rPr>
            </w:pPr>
          </w:p>
        </w:tc>
        <w:tc>
          <w:tcPr>
            <w:tcW w:w="428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1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DESCRIPTION OF CAPITAL STOCK</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8"/>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85">
              <w:r>
                <w:rPr>
                  <w:rFonts w:ascii="Arial" w:cs="Arial" w:eastAsia="Arial" w:hAnsi="Arial"/>
                  <w:sz w:val="18"/>
                  <w:szCs w:val="18"/>
                  <w:color w:val="0000EE"/>
                  <w:w w:val="95"/>
                </w:rPr>
                <w:t>SHARES ELIGIBLE FOR FUTURE SALE</w:t>
              </w:r>
            </w:hyperlink>
          </w:p>
        </w:tc>
        <w:tc>
          <w:tcPr>
            <w:tcW w:w="656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r>
      <w:tr>
        <w:trPr>
          <w:trHeight w:val="196"/>
        </w:trPr>
        <w:tc>
          <w:tcPr>
            <w:tcW w:w="120" w:type="dxa"/>
            <w:vAlign w:val="bottom"/>
          </w:tcPr>
          <w:p>
            <w:pPr>
              <w:spacing w:after="0"/>
              <w:rPr>
                <w:sz w:val="17"/>
                <w:szCs w:val="17"/>
                <w:color w:val="auto"/>
              </w:rPr>
            </w:pPr>
          </w:p>
        </w:tc>
        <w:tc>
          <w:tcPr>
            <w:tcW w:w="87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88">
              <w:r>
                <w:rPr>
                  <w:rFonts w:ascii="Arial" w:cs="Arial" w:eastAsia="Arial" w:hAnsi="Arial"/>
                  <w:sz w:val="18"/>
                  <w:szCs w:val="18"/>
                  <w:color w:val="0000EE"/>
                  <w:w w:val="95"/>
                </w:rPr>
                <w:t>MATERIAL U.S. FEDERAL INCOME TAX CONSIDERATIONS FOR NON-U.S. HOLDERS OF COMMON STOCK</w:t>
              </w:r>
            </w:hyperlink>
          </w:p>
        </w:tc>
        <w:tc>
          <w:tcPr>
            <w:tcW w:w="100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196"/>
        </w:trPr>
        <w:tc>
          <w:tcPr>
            <w:tcW w:w="1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UNDERWRITING</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200">
              <w:r>
                <w:rPr>
                  <w:rFonts w:ascii="Arial" w:cs="Arial" w:eastAsia="Arial" w:hAnsi="Arial"/>
                  <w:sz w:val="18"/>
                  <w:szCs w:val="18"/>
                  <w:color w:val="0000EE"/>
                  <w:w w:val="96"/>
                </w:rPr>
                <w:t>LEGAL MATTERS</w:t>
              </w:r>
            </w:hyperlink>
          </w:p>
        </w:tc>
        <w:tc>
          <w:tcPr>
            <w:tcW w:w="8280" w:type="dxa"/>
            <w:vAlign w:val="bottom"/>
            <w:gridSpan w:val="1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r>
      <w:tr>
        <w:trPr>
          <w:trHeight w:val="196"/>
        </w:trPr>
        <w:tc>
          <w:tcPr>
            <w:tcW w:w="1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EXPERTS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WHERE YOU CAN FIND MORE INFORMATION</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7"/>
              </w:rPr>
            </w:pPr>
            <w:hyperlink w:anchor="page201">
              <w:r>
                <w:rPr>
                  <w:rFonts w:ascii="Arial" w:cs="Arial" w:eastAsia="Arial" w:hAnsi="Arial"/>
                  <w:sz w:val="18"/>
                  <w:szCs w:val="18"/>
                  <w:color w:val="0000EE"/>
                  <w:w w:val="97"/>
                </w:rPr>
                <w:t>INDEX TO FINANCIAL STATEMENTS</w:t>
              </w:r>
            </w:hyperlink>
          </w:p>
        </w:tc>
        <w:tc>
          <w:tcPr>
            <w:tcW w:w="760" w:type="dxa"/>
            <w:vAlign w:val="bottom"/>
            <w:tcBorders>
              <w:top w:val="single" w:sz="8" w:color="0000EE"/>
            </w:tcBorders>
            <w:gridSpan w:val="2"/>
          </w:tcPr>
          <w:p>
            <w:pPr>
              <w:spacing w:after="0"/>
              <w:rPr>
                <w:sz w:val="17"/>
                <w:szCs w:val="17"/>
                <w:color w:val="auto"/>
              </w:rPr>
            </w:pPr>
          </w:p>
        </w:tc>
        <w:tc>
          <w:tcPr>
            <w:tcW w:w="5940" w:type="dxa"/>
            <w:vAlign w:val="bottom"/>
            <w:gridSpan w:val="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or in any applicable free writing prospectus related thereto is current only as of its date, regardless of its time of delivery or any sale of shares of our common stock. Our business, financial condition, results of operations and prospects may have changed since that date.</w:t>
      </w:r>
    </w:p>
    <w:p>
      <w:pPr>
        <w:spacing w:after="0" w:line="164"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87"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 xml:space="preserve">We have proprietary rights to trademarks, trade names and service marks appearing in this prospectus that are important to our business. Solely for convenience, the trademarks, trade names and service marks may appear in this prospectus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prospectus are the property of their respective owners. We do not intend our use or display of other parties’ trademarks, trade names or service marks to imply, and such use or display should not be construed to imply, a relationship with, or endorsement or sponsorship of us by, these other parties.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the context otherwise requires, the terms “Tyra,” “Tyra Biosciences,” “our company,” “we,” “us,” and “our” in this prospectus refer to Tyra Biosciences, Inc.</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firstLine="852"/>
        <w:spacing w:after="0" w:line="283" w:lineRule="auto"/>
        <w:rPr>
          <w:sz w:val="20"/>
          <w:szCs w:val="20"/>
          <w:color w:val="auto"/>
        </w:rPr>
      </w:pPr>
      <w:r>
        <w:rPr>
          <w:rFonts w:ascii="Arial" w:cs="Arial" w:eastAsia="Arial" w:hAnsi="Arial"/>
          <w:sz w:val="16"/>
          <w:szCs w:val="16"/>
          <w:color w:val="auto"/>
        </w:rPr>
        <w:t>We are a precision oncology company focused on developing purpose-built therapies to overcome tumor resistance and improve outcomes for patients with cancer. The widespread availability of approved targeted oncology treatments, such as kinase inhibitors, has transformed the cancer treatment landscape. Despite the therapeutic benefit that targeted oncology treatments have created for some patients, the response rate and duration of efficacy is often limited by acquired drug resistance and other shortcomings of existing therapies.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or FGFR, family, which are altered in approximately 7% of all cancers. Our lead product candidate, TYRA-300, is designed to selectively inhibit FGFR3, with an initial focus on patients with bladder cancer. We anticipate filing an Investigational New Drug application, or IND, with the U.S. Food and Drug</w:t>
      </w:r>
    </w:p>
    <w:p>
      <w:pPr>
        <w:spacing w:after="0" w:line="6" w:lineRule="exact"/>
        <w:rPr>
          <w:sz w:val="20"/>
          <w:szCs w:val="20"/>
          <w:color w:val="auto"/>
        </w:rPr>
      </w:pPr>
    </w:p>
    <w:p>
      <w:pPr>
        <w:ind w:left="300" w:right="200"/>
        <w:spacing w:after="0" w:line="260" w:lineRule="auto"/>
        <w:rPr>
          <w:sz w:val="20"/>
          <w:szCs w:val="20"/>
          <w:color w:val="auto"/>
        </w:rPr>
      </w:pPr>
      <w:r>
        <w:rPr>
          <w:rFonts w:ascii="Arial" w:cs="Arial" w:eastAsia="Arial" w:hAnsi="Arial"/>
          <w:sz w:val="18"/>
          <w:szCs w:val="18"/>
          <w:color w:val="auto"/>
        </w:rPr>
        <w:t>Administration, or the FDA, for TYRA-300 in . In addition, we have pipeline development programs targeting FGFR2-related cancers, FGFR3-related achondroplasia and REarranged during Transfection kinase, or RET, and FGFR4-related cancers.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SNÅP platform</w:t>
      </w:r>
    </w:p>
    <w:p>
      <w:pPr>
        <w:spacing w:after="0" w:line="225" w:lineRule="exact"/>
        <w:rPr>
          <w:sz w:val="20"/>
          <w:szCs w:val="20"/>
          <w:color w:val="auto"/>
        </w:rPr>
      </w:pPr>
    </w:p>
    <w:p>
      <w:pPr>
        <w:ind w:left="300" w:firstLine="852"/>
        <w:spacing w:after="0" w:line="254" w:lineRule="auto"/>
        <w:rPr>
          <w:sz w:val="20"/>
          <w:szCs w:val="20"/>
          <w:color w:val="auto"/>
        </w:rPr>
      </w:pPr>
      <w:r>
        <w:rPr>
          <w:rFonts w:ascii="Arial" w:cs="Arial" w:eastAsia="Arial" w:hAnsi="Arial"/>
          <w:sz w:val="18"/>
          <w:szCs w:val="18"/>
          <w:color w:val="auto"/>
        </w:rPr>
        <w:t>We developed our proprietary SNÅP platform to efficiently identify and selectively target vulnerabilities in the mutant proteins where genetic alterations have eliminated or reduced the effectiveness of targeted therapies. Through the rapid generation of precise molecular SNÅPshots, we continually gain deeper insights into the structure of inhibitor binding sites and how commonly occurring genetic alterations lead to acquired drug resistance to existing therapies. Leveraging these insights, we aim to predict the genetic alterations most likely to cause resistance to specific existing therapies and develop compound candidates with innovative structures that are designed to inhibit the target while avoiding those mutations. Through this process, we identify product candidates that may have the potency and selectivity to, if approved, be used as important treatment options to address critical unmet needs.</w:t>
      </w:r>
    </w:p>
    <w:p>
      <w:pPr>
        <w:spacing w:after="0" w:line="19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Our SNÅP platform is driven by our ability to rapidly and concurrently generate iterative data from the following three key pillars.</w:t>
      </w:r>
    </w:p>
    <w:p>
      <w:pPr>
        <w:spacing w:after="0" w:line="260" w:lineRule="exact"/>
        <w:rPr>
          <w:sz w:val="20"/>
          <w:szCs w:val="20"/>
          <w:color w:val="auto"/>
        </w:rPr>
      </w:pPr>
    </w:p>
    <w:p>
      <w:pPr>
        <w:ind w:left="1540" w:right="160" w:hanging="297"/>
        <w:spacing w:after="0" w:line="281"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Protein crystallography. </w:t>
      </w:r>
      <w:r>
        <w:rPr>
          <w:rFonts w:ascii="Arial" w:cs="Arial" w:eastAsia="Arial" w:hAnsi="Arial"/>
          <w:sz w:val="17"/>
          <w:szCs w:val="17"/>
          <w:color w:val="auto"/>
        </w:rPr>
        <w:t>We have developed proprietary protein crystallography techniques that enable us to determine the</w:t>
      </w:r>
      <w:r>
        <w:rPr>
          <w:rFonts w:ascii="Arial" w:cs="Arial" w:eastAsia="Arial" w:hAnsi="Arial"/>
          <w:sz w:val="17"/>
          <w:szCs w:val="17"/>
          <w:b w:val="1"/>
          <w:bCs w:val="1"/>
          <w:color w:val="auto"/>
        </w:rPr>
        <w:t xml:space="preserve"> </w:t>
      </w:r>
      <w:r>
        <w:rPr>
          <w:rFonts w:ascii="Arial" w:cs="Arial" w:eastAsia="Arial" w:hAnsi="Arial"/>
          <w:sz w:val="17"/>
          <w:szCs w:val="17"/>
          <w:color w:val="auto"/>
        </w:rPr>
        <w:t>co-crystal structures of newly synthesized compounds in target proteins in as little as three days. This enables weekly generation of detailed structural insights on the precise interactions and conformational changes that occur when our potential product candidates bind to a particular target, creating opportunities to further refine the structural design.</w:t>
      </w:r>
    </w:p>
    <w:p>
      <w:pPr>
        <w:spacing w:after="0" w:line="191" w:lineRule="exact"/>
        <w:rPr>
          <w:rFonts w:ascii="Arial" w:cs="Arial" w:eastAsia="Arial" w:hAnsi="Arial"/>
          <w:sz w:val="17"/>
          <w:szCs w:val="17"/>
          <w:color w:val="auto"/>
        </w:rPr>
      </w:pPr>
    </w:p>
    <w:p>
      <w:pPr>
        <w:ind w:left="1540" w:right="740" w:hanging="297"/>
        <w:spacing w:after="0" w:line="282"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Cell-based assays. </w:t>
      </w:r>
      <w:r>
        <w:rPr>
          <w:rFonts w:ascii="Arial" w:cs="Arial" w:eastAsia="Arial" w:hAnsi="Arial"/>
          <w:sz w:val="18"/>
          <w:szCs w:val="18"/>
          <w:color w:val="auto"/>
        </w:rPr>
        <w:t>We assess inhibitor potency directly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target-specific anti-proliferation assays,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enzymatic assays, to enable us to simultaneously understand target potency</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76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7760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880"/>
        <w:spacing w:after="0" w:line="277" w:lineRule="auto"/>
        <w:rPr>
          <w:sz w:val="20"/>
          <w:szCs w:val="20"/>
          <w:color w:val="auto"/>
        </w:rPr>
      </w:pPr>
      <w:r>
        <w:rPr>
          <w:rFonts w:ascii="Arial" w:cs="Arial" w:eastAsia="Arial" w:hAnsi="Arial"/>
          <w:sz w:val="18"/>
          <w:szCs w:val="18"/>
          <w:color w:val="auto"/>
        </w:rPr>
        <w:t>and cell penetration as well as target-specific cell killing. Our process allows us to generate data on newly synthesized compounds in as little as two days.</w:t>
      </w:r>
    </w:p>
    <w:p>
      <w:pPr>
        <w:spacing w:after="0" w:line="193" w:lineRule="exact"/>
        <w:rPr>
          <w:sz w:val="20"/>
          <w:szCs w:val="20"/>
          <w:color w:val="auto"/>
        </w:rPr>
      </w:pPr>
    </w:p>
    <w:p>
      <w:pPr>
        <w:ind w:left="1540" w:right="240" w:hanging="297"/>
        <w:spacing w:after="0" w:line="266"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 vivo models. </w:t>
      </w:r>
      <w:r>
        <w:rPr>
          <w:rFonts w:ascii="Arial" w:cs="Arial" w:eastAsia="Arial" w:hAnsi="Arial"/>
          <w:sz w:val="18"/>
          <w:szCs w:val="18"/>
          <w:color w:val="auto"/>
        </w:rPr>
        <w:t>Our direct structural insights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datasets are complemented by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pharmacologic data generated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in-house animal models that provide us with bioavailability, pharmacokinetic data and anti-tumor activity in as little as five days.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Programs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Below is an overview of our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FGFR3 Program—TYRA-300</w:t>
      </w:r>
    </w:p>
    <w:p>
      <w:pPr>
        <w:spacing w:after="0" w:line="225" w:lineRule="exact"/>
        <w:rPr>
          <w:sz w:val="20"/>
          <w:szCs w:val="20"/>
          <w:color w:val="auto"/>
        </w:rPr>
      </w:pPr>
    </w:p>
    <w:p>
      <w:pPr>
        <w:ind w:left="300" w:firstLine="852"/>
        <w:spacing w:after="0" w:line="277" w:lineRule="auto"/>
        <w:rPr>
          <w:sz w:val="20"/>
          <w:szCs w:val="20"/>
          <w:color w:val="auto"/>
        </w:rPr>
      </w:pPr>
      <w:r>
        <w:rPr>
          <w:rFonts w:ascii="Arial" w:cs="Arial" w:eastAsia="Arial" w:hAnsi="Arial"/>
          <w:sz w:val="18"/>
          <w:szCs w:val="18"/>
          <w:color w:val="auto"/>
        </w:rPr>
        <w:t>We are developing our lead product candidate, TYRA-300, a selective inhibitor of FGFR3, initially for the treatment of muscle invasive bladder cancer, or MIBC.</w:t>
      </w:r>
    </w:p>
    <w:p>
      <w:pPr>
        <w:spacing w:after="0" w:line="170"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color w:val="auto"/>
        </w:rPr>
        <w:t>One common mechanism of acquired drug resistance in kinases such as FGFR3 is the emergence of gatekeeper mutations. For example, the V555M and V555L gatekeeper mutations have been shown to block access to a portion of the binding pocket accessed by first generation FGFR compounds, such as Balversa</w:t>
      </w:r>
      <w:r>
        <w:rPr>
          <w:rFonts w:ascii="Arial" w:cs="Arial" w:eastAsia="Arial" w:hAnsi="Arial"/>
          <w:sz w:val="14"/>
          <w:szCs w:val="14"/>
          <w:color w:val="auto"/>
        </w:rPr>
        <w:t>®</w:t>
      </w:r>
      <w:r>
        <w:rPr>
          <w:rFonts w:ascii="Arial" w:cs="Arial" w:eastAsia="Arial" w:hAnsi="Arial"/>
          <w:sz w:val="17"/>
          <w:szCs w:val="17"/>
          <w:color w:val="auto"/>
        </w:rPr>
        <w:t xml:space="preserve"> (erdafitinib), the only currently FDA approved FGFR3 inhibitor for MIBC, as well as infigratinib, a non-selective FGFR inhibitor in late-stage clinical development. Because we believe the gatekeeper mutation represents a key limitation to efficacy and durability of the therapeutic effect of first generation FGFR compounds, we have designed TYRA-300 to avoid interactions with the gatekeeper region of the inhibitor binding site. In cell-based assays and preclinical xenograft models, we observed that TYRA-300 had similar inhibition against both the wild-type and the gatekeeper mutations.</w:t>
      </w:r>
    </w:p>
    <w:p>
      <w:pPr>
        <w:spacing w:after="0" w:line="177" w:lineRule="exact"/>
        <w:rPr>
          <w:sz w:val="20"/>
          <w:szCs w:val="20"/>
          <w:color w:val="auto"/>
        </w:rPr>
      </w:pPr>
    </w:p>
    <w:p>
      <w:pPr>
        <w:ind w:left="300" w:right="40" w:firstLine="852"/>
        <w:spacing w:after="0" w:line="301" w:lineRule="auto"/>
        <w:rPr>
          <w:sz w:val="20"/>
          <w:szCs w:val="20"/>
          <w:color w:val="auto"/>
        </w:rPr>
      </w:pPr>
      <w:r>
        <w:rPr>
          <w:rFonts w:ascii="Arial" w:cs="Arial" w:eastAsia="Arial" w:hAnsi="Arial"/>
          <w:sz w:val="16"/>
          <w:szCs w:val="16"/>
          <w:color w:val="auto"/>
        </w:rPr>
        <w:t>In addition to addressing the gatekeeper resistance mutations, we have designed TYRA-300 to be more selective for FGFR3 over FGFR1 to minimize off-target side effects, providing potential clinical advantages over less selective first generation compounds. For example, inhibition of FGFR1 is associated with a well-characterized adverse event, hyperphosphatemia, an electrolyte disorder characterized by an elevated level of phosphate in the blood, which is commonly observed in patients treated with these inhibitors, limiting their dosing.</w:t>
      </w:r>
    </w:p>
    <w:p>
      <w:pPr>
        <w:spacing w:after="0" w:line="157" w:lineRule="exact"/>
        <w:rPr>
          <w:sz w:val="20"/>
          <w:szCs w:val="20"/>
          <w:color w:val="auto"/>
        </w:rPr>
      </w:pPr>
    </w:p>
    <w:p>
      <w:pPr>
        <w:ind w:left="300" w:right="920" w:firstLine="852"/>
        <w:spacing w:after="0" w:line="277" w:lineRule="auto"/>
        <w:rPr>
          <w:sz w:val="20"/>
          <w:szCs w:val="20"/>
          <w:color w:val="auto"/>
        </w:rPr>
      </w:pPr>
      <w:r>
        <w:rPr>
          <w:rFonts w:ascii="Arial" w:cs="Arial" w:eastAsia="Arial" w:hAnsi="Arial"/>
          <w:sz w:val="18"/>
          <w:szCs w:val="18"/>
          <w:color w:val="auto"/>
        </w:rPr>
        <w:t>We have designed TYRA-300 to be more selective for FGFR3 over FGFR1 in order to potentially reduce the need for dose modifications or interruptions due to hyperphosphatemia, which we believe will result in</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6" w:lineRule="auto"/>
        <w:rPr>
          <w:sz w:val="20"/>
          <w:szCs w:val="20"/>
          <w:color w:val="auto"/>
        </w:rPr>
      </w:pPr>
      <w:r>
        <w:rPr>
          <w:rFonts w:ascii="Arial" w:cs="Arial" w:eastAsia="Arial" w:hAnsi="Arial"/>
          <w:sz w:val="17"/>
          <w:szCs w:val="17"/>
          <w:color w:val="auto"/>
        </w:rPr>
        <w:t>increased efficacy and improved clinical outcomes for patients with MIBC. We believe TYRA-300 has the potential to address additional indications such as non-muscle invasive bladder cancer, or NMIBC, as well as other FGFR3-driven indications demonstrating resistance to existing therapies or for which such therapies result in dose-limiting adverse events, such as hyperphosphatemia.</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FGFR2 Program</w:t>
      </w:r>
    </w:p>
    <w:p>
      <w:pPr>
        <w:spacing w:after="0" w:line="225" w:lineRule="exact"/>
        <w:rPr>
          <w:sz w:val="20"/>
          <w:szCs w:val="20"/>
          <w:color w:val="auto"/>
        </w:rPr>
      </w:pPr>
    </w:p>
    <w:p>
      <w:pPr>
        <w:ind w:left="300" w:right="160" w:firstLine="852"/>
        <w:spacing w:after="0" w:line="286" w:lineRule="auto"/>
        <w:rPr>
          <w:sz w:val="20"/>
          <w:szCs w:val="20"/>
          <w:color w:val="auto"/>
        </w:rPr>
      </w:pPr>
      <w:r>
        <w:rPr>
          <w:rFonts w:ascii="Arial" w:cs="Arial" w:eastAsia="Arial" w:hAnsi="Arial"/>
          <w:sz w:val="16"/>
          <w:szCs w:val="16"/>
          <w:color w:val="auto"/>
        </w:rPr>
        <w:t>Our second program is focused on the inhibition of FGFR2, initially for the treatment of intrahepatic cholangiocarcinoma, or ICC, a cancer of the biliary ducts. Acquired resistance mutations, such as gatekeeper and molecular brake mutations, have been observed in patients treated with Pemazyre</w:t>
      </w:r>
      <w:r>
        <w:rPr>
          <w:rFonts w:ascii="Arial" w:cs="Arial" w:eastAsia="Arial" w:hAnsi="Arial"/>
          <w:sz w:val="13"/>
          <w:szCs w:val="13"/>
          <w:color w:val="auto"/>
        </w:rPr>
        <w:t>®</w:t>
      </w:r>
      <w:r>
        <w:rPr>
          <w:rFonts w:ascii="Arial" w:cs="Arial" w:eastAsia="Arial" w:hAnsi="Arial"/>
          <w:sz w:val="16"/>
          <w:szCs w:val="16"/>
          <w:color w:val="auto"/>
        </w:rPr>
        <w:t xml:space="preserve"> (pemigatinib) and TRUSELIQ</w:t>
      </w:r>
      <w:r>
        <w:rPr>
          <w:rFonts w:ascii="Arial" w:cs="Arial" w:eastAsia="Arial" w:hAnsi="Arial"/>
          <w:sz w:val="13"/>
          <w:szCs w:val="13"/>
          <w:color w:val="auto"/>
        </w:rPr>
        <w:t>®</w:t>
      </w:r>
      <w:r>
        <w:rPr>
          <w:rFonts w:ascii="Arial" w:cs="Arial" w:eastAsia="Arial" w:hAnsi="Arial"/>
          <w:sz w:val="16"/>
          <w:szCs w:val="16"/>
          <w:color w:val="auto"/>
        </w:rPr>
        <w:t xml:space="preserve"> (infigratinib), the two FDA approved FGFR inhibitors for ICC, and in other late clinical stage inhibitors, such as futibatinib. We are developing an inhibitor with the potential to address key resistance mutations, which we believe is</w:t>
      </w:r>
    </w:p>
    <w:p>
      <w:pPr>
        <w:spacing w:after="0" w:line="1" w:lineRule="exact"/>
        <w:rPr>
          <w:sz w:val="20"/>
          <w:szCs w:val="20"/>
          <w:color w:val="auto"/>
        </w:rPr>
      </w:pPr>
    </w:p>
    <w:p>
      <w:pPr>
        <w:ind w:left="300"/>
        <w:spacing w:after="0"/>
        <w:tabs>
          <w:tab w:leader="none" w:pos="8220" w:val="left"/>
        </w:tabs>
        <w:rPr>
          <w:sz w:val="20"/>
          <w:szCs w:val="20"/>
          <w:color w:val="auto"/>
        </w:rPr>
      </w:pPr>
      <w:r>
        <w:rPr>
          <w:rFonts w:ascii="Arial" w:cs="Arial" w:eastAsia="Arial" w:hAnsi="Arial"/>
          <w:sz w:val="17"/>
          <w:szCs w:val="17"/>
          <w:color w:val="auto"/>
        </w:rPr>
        <w:t>necessary to address the problem of polyclonal resistance. We plan to nominate a product candidate in</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Achondroplasia, RET and FGFR4 Programs</w:t>
      </w:r>
    </w:p>
    <w:p>
      <w:pPr>
        <w:spacing w:after="0" w:line="225" w:lineRule="exact"/>
        <w:rPr>
          <w:sz w:val="20"/>
          <w:szCs w:val="20"/>
          <w:color w:val="auto"/>
        </w:rPr>
      </w:pPr>
    </w:p>
    <w:p>
      <w:pPr>
        <w:ind w:left="300" w:right="40" w:firstLine="852"/>
        <w:spacing w:after="0" w:line="275" w:lineRule="auto"/>
        <w:rPr>
          <w:sz w:val="20"/>
          <w:szCs w:val="20"/>
          <w:color w:val="auto"/>
        </w:rPr>
      </w:pPr>
      <w:r>
        <w:rPr>
          <w:rFonts w:ascii="Arial" w:cs="Arial" w:eastAsia="Arial" w:hAnsi="Arial"/>
          <w:sz w:val="17"/>
          <w:szCs w:val="17"/>
          <w:color w:val="auto"/>
        </w:rPr>
        <w:t>Our pipeline also includes development programs targeting FGFR3-related achondroplasia as well as RET and FGFR4-related cancers. These programs are currently in lead optimization stage. Our achondroplasia program is aimed at developing a potential treatment for pediatric patients, benefiting from our structural insights into the FGFR3 selectivity we have observed with TYRA-300. This genetic disorder is caused by a mutation in the FGFR3 gene. Our RET and FGFR4 programs are focused on overcoming acquired drug resistance mutations that are clinically observed to arise in response to marketed or clinical-stage drugs in RET- and FGFR4-related cancers.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120" w:firstLine="852"/>
        <w:spacing w:after="0" w:line="259" w:lineRule="auto"/>
        <w:rPr>
          <w:sz w:val="20"/>
          <w:szCs w:val="20"/>
          <w:color w:val="auto"/>
        </w:rPr>
      </w:pPr>
      <w:r>
        <w:rPr>
          <w:rFonts w:ascii="Arial" w:cs="Arial" w:eastAsia="Arial" w:hAnsi="Arial"/>
          <w:sz w:val="18"/>
          <w:szCs w:val="18"/>
          <w:color w:val="auto"/>
        </w:rPr>
        <w:t>At Tyra, we do not accept that cancer patients with acquired drug resistance should be left with the devastating reality of limited or no treatment options. Our vision is to become a leading precision medicine company utilizing our unique approach to designing and developing purpose-built therapies to overcome acquired drug resistance in tumors and provide treatment options to these patients who have limited or no options. Key elements of our strategy to achieve our vision are as follows.</w:t>
      </w:r>
    </w:p>
    <w:p>
      <w:pPr>
        <w:spacing w:after="0" w:line="214" w:lineRule="exact"/>
        <w:rPr>
          <w:sz w:val="20"/>
          <w:szCs w:val="20"/>
          <w:color w:val="auto"/>
        </w:rPr>
      </w:pPr>
    </w:p>
    <w:p>
      <w:pPr>
        <w:ind w:left="1540" w:right="340" w:hanging="297"/>
        <w:spacing w:after="0" w:line="277" w:lineRule="auto"/>
        <w:tabs>
          <w:tab w:leader="none" w:pos="15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Advance product candidates for acquired drug resistance mutations in FGFR3 and FGFR2 through clinical development and regulatory approval.</w:t>
      </w:r>
    </w:p>
    <w:p>
      <w:pPr>
        <w:spacing w:after="0" w:line="197" w:lineRule="exact"/>
        <w:rPr>
          <w:rFonts w:ascii="Arial" w:cs="Arial" w:eastAsia="Arial" w:hAnsi="Arial"/>
          <w:sz w:val="18"/>
          <w:szCs w:val="18"/>
          <w:i w:val="1"/>
          <w:iCs w:val="1"/>
          <w:color w:val="auto"/>
        </w:rPr>
      </w:pPr>
    </w:p>
    <w:p>
      <w:pPr>
        <w:ind w:left="1540" w:hanging="297"/>
        <w:spacing w:after="0"/>
        <w:tabs>
          <w:tab w:leader="none" w:pos="15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Harness the strength of our SNÅP platform to rapidly develop additional next-generation precision therapies.</w:t>
      </w:r>
    </w:p>
    <w:p>
      <w:pPr>
        <w:spacing w:after="0" w:line="252" w:lineRule="exact"/>
        <w:rPr>
          <w:rFonts w:ascii="Arial" w:cs="Arial" w:eastAsia="Arial" w:hAnsi="Arial"/>
          <w:sz w:val="18"/>
          <w:szCs w:val="18"/>
          <w:i w:val="1"/>
          <w:iCs w:val="1"/>
          <w:color w:val="auto"/>
        </w:rPr>
      </w:pPr>
    </w:p>
    <w:p>
      <w:pPr>
        <w:ind w:left="1540" w:hanging="297"/>
        <w:spacing w:after="0"/>
        <w:tabs>
          <w:tab w:leader="none" w:pos="15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Leverage the recent advances in the precision oncology landscape to potentially expedite our product candidates’ development.</w:t>
      </w:r>
    </w:p>
    <w:p>
      <w:pPr>
        <w:spacing w:after="0" w:line="275" w:lineRule="exact"/>
        <w:rPr>
          <w:rFonts w:ascii="Arial" w:cs="Arial" w:eastAsia="Arial" w:hAnsi="Arial"/>
          <w:sz w:val="16"/>
          <w:szCs w:val="16"/>
          <w:i w:val="1"/>
          <w:iCs w:val="1"/>
          <w:color w:val="auto"/>
        </w:rPr>
      </w:pPr>
    </w:p>
    <w:p>
      <w:pPr>
        <w:ind w:left="1540" w:right="180" w:hanging="297"/>
        <w:spacing w:after="0" w:line="277" w:lineRule="auto"/>
        <w:tabs>
          <w:tab w:leader="none" w:pos="15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Maximize the value of our product candidates across multiple therapeutic areas through accelerated development and potential partnerships.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Leadership Team and Investors</w:t>
      </w:r>
    </w:p>
    <w:p>
      <w:pPr>
        <w:spacing w:after="0" w:line="229" w:lineRule="exact"/>
        <w:rPr>
          <w:sz w:val="20"/>
          <w:szCs w:val="20"/>
          <w:color w:val="auto"/>
        </w:rPr>
      </w:pPr>
    </w:p>
    <w:p>
      <w:pPr>
        <w:ind w:left="300" w:right="20" w:firstLine="852"/>
        <w:spacing w:after="0" w:line="275" w:lineRule="auto"/>
        <w:rPr>
          <w:sz w:val="20"/>
          <w:szCs w:val="20"/>
          <w:color w:val="auto"/>
        </w:rPr>
      </w:pPr>
      <w:r>
        <w:rPr>
          <w:rFonts w:ascii="Arial" w:cs="Arial" w:eastAsia="Arial" w:hAnsi="Arial"/>
          <w:sz w:val="17"/>
          <w:szCs w:val="17"/>
          <w:color w:val="auto"/>
        </w:rPr>
        <w:t>We are led by a team with extensive experience in drug discovery and development with a particular focus on small molecule drug development. Todd Harris, Ph.D., our co-founder and Chief Executive Officer, previously founded and served as Chief Executive Officer of Sienna Labs. Daniel Bensen, our co-founder and Chief Operating Officer, is a structural biologist and protein chemist with over 20 years of experience most recently at Cidara Therapeutics and Trius Therapeutics. Robert Hudkins, Ph.D., our Chief Technical Officer, has over 34 years of oncology and neuroscience medicinal chemistry experience, including 26 years at Cephalon and</w:t>
      </w: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5" w:lineRule="auto"/>
        <w:rPr>
          <w:sz w:val="20"/>
          <w:szCs w:val="20"/>
          <w:color w:val="auto"/>
        </w:rPr>
      </w:pPr>
      <w:r>
        <w:rPr>
          <w:rFonts w:ascii="Arial" w:cs="Arial" w:eastAsia="Arial" w:hAnsi="Arial"/>
          <w:sz w:val="17"/>
          <w:szCs w:val="17"/>
          <w:color w:val="auto"/>
        </w:rPr>
        <w:t>Teva, where he was an inventor and team leader advancing new chemical entities into clinical development. Ronald Swanson, Ph.D., our Chief Scientific Officer, has over 25 years of biotechnology and pharmaceutical experience, most recently at Janssen. Hiroomi Tada, M.D., Ph.D., our Chief Medical Officer, was a clinical lead for the development of a portfolio of therapies at Incyte, GlaxoSmithKline and AstraZeneca. Our Chief Development Officer, Piyush Patel, Ph.D., with nearly three decades of experience, previously served as Chief Scientific Officer at CinRx and led drug formulation, clinical manufacturing and process development at Cephalon and Teva.</w:t>
      </w:r>
    </w:p>
    <w:p>
      <w:pPr>
        <w:spacing w:after="0" w:line="176" w:lineRule="exact"/>
        <w:rPr>
          <w:sz w:val="20"/>
          <w:szCs w:val="20"/>
          <w:color w:val="auto"/>
        </w:rPr>
      </w:pPr>
    </w:p>
    <w:p>
      <w:pPr>
        <w:ind w:left="300" w:right="80" w:firstLine="852"/>
        <w:spacing w:after="0" w:line="277" w:lineRule="auto"/>
        <w:rPr>
          <w:sz w:val="20"/>
          <w:szCs w:val="20"/>
          <w:color w:val="auto"/>
        </w:rPr>
      </w:pPr>
      <w:r>
        <w:rPr>
          <w:rFonts w:ascii="Arial" w:cs="Arial" w:eastAsia="Arial" w:hAnsi="Arial"/>
          <w:sz w:val="18"/>
          <w:szCs w:val="18"/>
          <w:color w:val="auto"/>
        </w:rPr>
        <w:t>To date, we have raised $157.2 million from leading investors in the life sciences industry. Investors with 5% or greater ownership are Alta Partners, Boxer Capital of Tavistock Group, Canaan, Nextech Invest and RA Capital.</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29"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These risks are described more fully in the section entitled “Risk Factors” in this prospectus. These risks include, among others, the following.</w:t>
      </w:r>
    </w:p>
    <w:p>
      <w:pPr>
        <w:spacing w:after="0" w:line="211" w:lineRule="exact"/>
        <w:rPr>
          <w:sz w:val="20"/>
          <w:szCs w:val="20"/>
          <w:color w:val="auto"/>
        </w:rPr>
      </w:pPr>
    </w:p>
    <w:p>
      <w:pPr>
        <w:ind w:left="1540" w:right="80" w:hanging="297"/>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very early in our development efforts, have limited operating history, have not initiated or completed any clinical trials, have no products approved for commercial sale and have not generated any revenue, which may make it difficult for investors to evaluate our current business and likelihood of success and viability.</w:t>
      </w:r>
    </w:p>
    <w:p>
      <w:pPr>
        <w:spacing w:after="0" w:line="210" w:lineRule="exact"/>
        <w:rPr>
          <w:rFonts w:ascii="Arial" w:cs="Arial" w:eastAsia="Arial" w:hAnsi="Arial"/>
          <w:sz w:val="18"/>
          <w:szCs w:val="18"/>
          <w:color w:val="auto"/>
        </w:rPr>
      </w:pPr>
    </w:p>
    <w:p>
      <w:pPr>
        <w:ind w:left="1540" w:right="42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net losses in each period since our inception, and we expect to continue to incur significant net losses for the foreseeable future.</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discovery, development and commercialization of our product candidates.</w:t>
      </w:r>
    </w:p>
    <w:p>
      <w:pPr>
        <w:spacing w:after="0" w:line="197" w:lineRule="exact"/>
        <w:rPr>
          <w:rFonts w:ascii="Arial" w:cs="Arial" w:eastAsia="Arial" w:hAnsi="Arial"/>
          <w:sz w:val="18"/>
          <w:szCs w:val="18"/>
          <w:color w:val="auto"/>
        </w:rPr>
      </w:pPr>
    </w:p>
    <w:p>
      <w:pPr>
        <w:ind w:left="1540" w:hanging="297"/>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210" w:lineRule="exact"/>
        <w:rPr>
          <w:rFonts w:ascii="Arial" w:cs="Arial" w:eastAsia="Arial" w:hAnsi="Arial"/>
          <w:sz w:val="18"/>
          <w:szCs w:val="18"/>
          <w:color w:val="auto"/>
        </w:rPr>
      </w:pPr>
    </w:p>
    <w:p>
      <w:pPr>
        <w:ind w:left="1540" w:right="160" w:hanging="297"/>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early in our development efforts and all of our development programs are in the preclinical or discovery stage. If we are unable to successfully develop, obtain marketing approval and ultimately commercialize product candidates, or experience significant delays in doing so, our business will be materially harmed.</w:t>
      </w:r>
    </w:p>
    <w:p>
      <w:pPr>
        <w:spacing w:after="0" w:line="210" w:lineRule="exact"/>
        <w:rPr>
          <w:rFonts w:ascii="Arial" w:cs="Arial" w:eastAsia="Arial" w:hAnsi="Arial"/>
          <w:sz w:val="18"/>
          <w:szCs w:val="18"/>
          <w:color w:val="auto"/>
        </w:rPr>
      </w:pPr>
    </w:p>
    <w:p>
      <w:pPr>
        <w:ind w:left="1540" w:right="16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an organization, we have never conducted any clinical trials or submitted an application for marketing approval, and may be unable to do so for any of our product candidates.</w:t>
      </w:r>
    </w:p>
    <w:p>
      <w:pPr>
        <w:spacing w:after="0" w:line="197" w:lineRule="exact"/>
        <w:rPr>
          <w:rFonts w:ascii="Arial" w:cs="Arial" w:eastAsia="Arial" w:hAnsi="Arial"/>
          <w:sz w:val="18"/>
          <w:szCs w:val="18"/>
          <w:color w:val="auto"/>
        </w:rPr>
      </w:pPr>
    </w:p>
    <w:p>
      <w:pPr>
        <w:ind w:left="1540" w:right="180" w:hanging="297"/>
        <w:spacing w:after="0" w:line="259"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and clinical development involves a lengthy and expensive process with an uncertain outcome, and the results of preclinical studies and early clinical trials are not necessarily predictive of future results. We have not tested any of our product candidates in clinical trials and our product candidates may not have favorable results in clinical trials, if any, or receive marketing approval on a timely basis, if at all.</w:t>
      </w:r>
    </w:p>
    <w:p>
      <w:pPr>
        <w:spacing w:after="0" w:line="213" w:lineRule="exact"/>
        <w:rPr>
          <w:rFonts w:ascii="Arial" w:cs="Arial" w:eastAsia="Arial" w:hAnsi="Arial"/>
          <w:sz w:val="18"/>
          <w:szCs w:val="18"/>
          <w:color w:val="auto"/>
        </w:rPr>
      </w:pPr>
    </w:p>
    <w:p>
      <w:pPr>
        <w:ind w:left="1540" w:right="12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127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71278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80" w:hanging="297"/>
        <w:spacing w:after="0" w:line="286"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2" w:lineRule="exact"/>
        <w:rPr>
          <w:rFonts w:ascii="Arial" w:cs="Arial" w:eastAsia="Arial" w:hAnsi="Arial"/>
          <w:sz w:val="17"/>
          <w:szCs w:val="17"/>
          <w:color w:val="auto"/>
        </w:rPr>
      </w:pPr>
    </w:p>
    <w:p>
      <w:pPr>
        <w:ind w:left="1540" w:right="80" w:hanging="297"/>
        <w:spacing w:after="0" w:line="259"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conduct some of our preclinical studies and will rely on third parties to conduct our future clinical trials.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213" w:lineRule="exact"/>
        <w:rPr>
          <w:rFonts w:ascii="Arial" w:cs="Arial" w:eastAsia="Arial" w:hAnsi="Arial"/>
          <w:sz w:val="18"/>
          <w:szCs w:val="18"/>
          <w:color w:val="auto"/>
        </w:rPr>
      </w:pPr>
    </w:p>
    <w:p>
      <w:pPr>
        <w:ind w:left="1540" w:right="220" w:hanging="297"/>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210" w:lineRule="exact"/>
        <w:rPr>
          <w:rFonts w:ascii="Arial" w:cs="Arial" w:eastAsia="Arial" w:hAnsi="Arial"/>
          <w:sz w:val="18"/>
          <w:szCs w:val="18"/>
          <w:color w:val="auto"/>
        </w:rPr>
      </w:pPr>
    </w:p>
    <w:p>
      <w:pPr>
        <w:ind w:left="1540" w:right="360" w:hanging="297"/>
        <w:spacing w:after="0" w:line="279"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We were incorporated under the laws of the State of Delaware on August 2, 2018 under the name “Tyra Biosciences, Inc.” Our principal corporate office is located at 2333 State Street, Suite 201, Carlsbad, CA 92008, and our telephone number is (619) 728-4760. Our website address is www.tyra.bio. We do not incorporate the information on or accessible through our website into this prospectus, and you should not consider any information on, or that can be accessed through, our website as part of this prospectus.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229" w:lineRule="exact"/>
        <w:rPr>
          <w:sz w:val="20"/>
          <w:szCs w:val="20"/>
          <w:color w:val="auto"/>
        </w:rPr>
      </w:pPr>
    </w:p>
    <w:p>
      <w:pPr>
        <w:ind w:left="300" w:right="160" w:firstLine="852"/>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as amended, or the JOBS Act, enacted in April 2012. An “emerging growth company” may take advantage of reduced reporting requirements that are otherwise applicable to public companies. These provisions include, but are not limited to:</w:t>
      </w:r>
    </w:p>
    <w:p>
      <w:pPr>
        <w:spacing w:after="0" w:line="211" w:lineRule="exact"/>
        <w:rPr>
          <w:sz w:val="20"/>
          <w:szCs w:val="20"/>
          <w:color w:val="auto"/>
        </w:rPr>
      </w:pPr>
    </w:p>
    <w:p>
      <w:pPr>
        <w:ind w:left="1540" w:right="8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197" w:lineRule="exact"/>
        <w:rPr>
          <w:rFonts w:ascii="Arial" w:cs="Arial" w:eastAsia="Arial" w:hAnsi="Arial"/>
          <w:sz w:val="18"/>
          <w:szCs w:val="18"/>
          <w:color w:val="auto"/>
        </w:rPr>
      </w:pPr>
    </w:p>
    <w:p>
      <w:pPr>
        <w:ind w:left="1540" w:right="48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197" w:lineRule="exact"/>
        <w:rPr>
          <w:rFonts w:ascii="Arial" w:cs="Arial" w:eastAsia="Arial" w:hAnsi="Arial"/>
          <w:sz w:val="18"/>
          <w:szCs w:val="18"/>
          <w:color w:val="auto"/>
        </w:rPr>
      </w:pPr>
    </w:p>
    <w:p>
      <w:pPr>
        <w:ind w:left="1540" w:right="56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197" w:lineRule="exact"/>
        <w:rPr>
          <w:rFonts w:ascii="Arial" w:cs="Arial" w:eastAsia="Arial" w:hAnsi="Arial"/>
          <w:sz w:val="18"/>
          <w:szCs w:val="18"/>
          <w:color w:val="auto"/>
        </w:rPr>
      </w:pPr>
    </w:p>
    <w:p>
      <w:pPr>
        <w:ind w:left="1540" w:right="24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 not previously approved.</w:t>
      </w:r>
    </w:p>
    <w:p>
      <w:pPr>
        <w:spacing w:after="0" w:line="170"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 occur in 2026. However, if certain events occur prior to the end of such five-year period, including if we become a “large accelerated filer” as defined in Rule 12b-2 under the Securities Exchange Act of 1934, as amended, or the Exchange Act, our annual gross revenues exceed $1.07 billion or we issue more than $1.0 billion of non-convertible debt in any three-year period, we will cease to be an emerging growth company prior to the end of such five-year period.</w:t>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81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2481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852"/>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ind w:left="300" w:firstLine="852"/>
        <w:spacing w:after="0" w:line="296" w:lineRule="auto"/>
        <w:rPr>
          <w:sz w:val="20"/>
          <w:szCs w:val="20"/>
          <w:color w:val="auto"/>
        </w:rPr>
      </w:pPr>
      <w:r>
        <w:rPr>
          <w:rFonts w:ascii="Arial" w:cs="Arial" w:eastAsia="Arial" w:hAnsi="Arial"/>
          <w:sz w:val="16"/>
          <w:szCs w:val="16"/>
          <w:color w:val="auto"/>
        </w:rPr>
        <w:t>The JOBS Act provides that an emerging growth company can take advantage of an extended transition period for complying with new or revised accounting standards.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after we are no longer an emerging growth company. We may take advantage of certain of the scaled disclosures available to smaller reporting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companies and will be able to take advantage of these scaled disclosures for so long as our voting and non-voting common stock held by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non-affiliates is less than $250.0 million measured on the last business day of our second fiscal quarter, or our annual revenue is less than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$100.0 million during the most recently completed fiscal year and our voting and non-voting common stock held by non-affiliates is less than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$700.0 million measured on the last business day of our second fiscal quarter.</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490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Underwriters’ option to purchase additional shares</w:t>
      </w:r>
      <w:r>
        <w:rPr>
          <w:sz w:val="20"/>
          <w:szCs w:val="20"/>
          <w:color w:val="auto"/>
        </w:rPr>
        <w:tab/>
      </w:r>
      <w:r>
        <w:rPr>
          <w:rFonts w:ascii="Arial" w:cs="Arial" w:eastAsia="Arial" w:hAnsi="Arial"/>
          <w:sz w:val="16"/>
          <w:szCs w:val="16"/>
          <w:color w:val="auto"/>
        </w:rPr>
        <w:t>We have granted a 30-day option to the underwriters to purchase up to an aggregate of</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additional shares of common stock from us at the initial public offering price, less</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underwriting discounts and commissions, on the same terms as set forth in this prospectus.</w:t>
      </w:r>
    </w:p>
    <w:p>
      <w:pPr>
        <w:sectPr>
          <w:pgSz w:w="11900" w:h="16838" w:orient="portrait"/>
          <w:cols w:equalWidth="0" w:num="1">
            <w:col w:w="10920"/>
          </w:cols>
          <w:pgMar w:left="320" w:top="459" w:right="659" w:bottom="1440" w:gutter="0" w:footer="0" w:header="0"/>
        </w:sectPr>
      </w:pPr>
    </w:p>
    <w:p>
      <w:pPr>
        <w:spacing w:after="0" w:line="238"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6"/>
          <w:szCs w:val="16"/>
          <w:color w:val="auto"/>
        </w:rPr>
        <w:t>shares if the underwriters exercise their option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in full).</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our net proceeds from the sale of shares of our common stock in this</w:t>
      </w:r>
    </w:p>
    <w:p>
      <w:pPr>
        <w:spacing w:after="0" w:line="35" w:lineRule="exact"/>
        <w:rPr>
          <w:sz w:val="20"/>
          <w:szCs w:val="20"/>
          <w:color w:val="auto"/>
        </w:rPr>
      </w:pPr>
    </w:p>
    <w:p>
      <w:pPr>
        <w:spacing w:after="0"/>
        <w:tabs>
          <w:tab w:leader="none" w:pos="2900" w:val="left"/>
          <w:tab w:leader="none" w:pos="4380" w:val="left"/>
        </w:tabs>
        <w:rPr>
          <w:sz w:val="20"/>
          <w:szCs w:val="20"/>
          <w:color w:val="auto"/>
        </w:rPr>
      </w:pPr>
      <w:r>
        <w:rPr>
          <w:rFonts w:ascii="Arial" w:cs="Arial" w:eastAsia="Arial" w:hAnsi="Arial"/>
          <w:sz w:val="18"/>
          <w:szCs w:val="18"/>
          <w:color w:val="auto"/>
        </w:rPr>
        <w:t>offering will be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million if the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exercise in full their option to purchase additional shares, assuming an initial public</w:t>
      </w:r>
    </w:p>
    <w:p>
      <w:pPr>
        <w:spacing w:after="0" w:line="2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6"/>
          <w:szCs w:val="16"/>
          <w:color w:val="auto"/>
        </w:rPr>
        <w:t>per share, which is the midpoint of the price range set forth on</w:t>
      </w:r>
    </w:p>
    <w:p>
      <w:pPr>
        <w:spacing w:after="0" w:line="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cover page of this prospectus, and after deducting estimated underwriting discounts and commissions and estimated offering expenses payable by us. We currently intend to use the net proceeds from this offering, together with our existing cash and cash equivalents, to fund the development of TYRA-300, our FGFR2 program and our FGFR3 achondroplasia program, as well as to fund the discovery and preclinical development of additional product candidates and for headcount costs, working capital and other general corporate purposes. See “Use of Proceeds” for additional information.</w:t>
      </w:r>
    </w:p>
    <w:p>
      <w:pPr>
        <w:spacing w:after="0" w:line="195" w:lineRule="exact"/>
        <w:rPr>
          <w:sz w:val="20"/>
          <w:szCs w:val="20"/>
          <w:color w:val="auto"/>
        </w:rPr>
      </w:pPr>
    </w:p>
    <w:p>
      <w:pPr>
        <w:sectPr>
          <w:pgSz w:w="11900" w:h="16838" w:orient="portrait"/>
          <w:cols w:equalWidth="0" w:num="2">
            <w:col w:w="4300" w:space="40"/>
            <w:col w:w="6580"/>
          </w:cols>
          <w:pgMar w:left="320" w:top="459" w:right="659" w:bottom="1440" w:gutter="0" w:footer="0" w:header="0"/>
          <w:type w:val="continuous"/>
        </w:sectPr>
      </w:pPr>
    </w:p>
    <w:p>
      <w:pPr>
        <w:ind w:left="300"/>
        <w:spacing w:after="0"/>
        <w:tabs>
          <w:tab w:leader="none" w:pos="43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carefully read the “Risk Factors” section of this prospectus for a discussion of</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factors that you should consider before deciding to invest in our common stock.</w:t>
      </w:r>
    </w:p>
    <w:p>
      <w:pPr>
        <w:spacing w:after="0" w:line="238" w:lineRule="exact"/>
        <w:rPr>
          <w:sz w:val="20"/>
          <w:szCs w:val="20"/>
          <w:color w:val="auto"/>
        </w:rPr>
      </w:pPr>
    </w:p>
    <w:p>
      <w:pPr>
        <w:ind w:left="300"/>
        <w:spacing w:after="0"/>
        <w:tabs>
          <w:tab w:leader="none" w:pos="4320" w:val="left"/>
          <w:tab w:leader="none" w:pos="4940" w:val="left"/>
        </w:tabs>
        <w:rPr>
          <w:sz w:val="20"/>
          <w:szCs w:val="20"/>
          <w:color w:val="auto"/>
        </w:rPr>
      </w:pPr>
      <w:r>
        <w:rPr>
          <w:rFonts w:ascii="Arial" w:cs="Arial" w:eastAsia="Arial" w:hAnsi="Arial"/>
          <w:sz w:val="18"/>
          <w:szCs w:val="18"/>
          <w:color w:val="auto"/>
        </w:rPr>
        <w:t>Proposed Nasdaq Global Market symbol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jc w:val="both"/>
        <w:ind w:left="300" w:right="340" w:firstLine="852"/>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is based on 1,510,292 shares of our common stock outstanding as of March 31, 2021, including 661,332 shares of unvested restricted common stock, and 10,097,839 shares of our common stock issuable upon the automatic conversion of all outstanding shares of our convertible preferred stock immediately prior to the completion of this offering, and excludes:</w:t>
      </w:r>
    </w:p>
    <w:p>
      <w:pPr>
        <w:spacing w:after="0" w:line="214" w:lineRule="exact"/>
        <w:rPr>
          <w:sz w:val="20"/>
          <w:szCs w:val="20"/>
          <w:color w:val="auto"/>
        </w:rPr>
      </w:pPr>
    </w:p>
    <w:p>
      <w:pPr>
        <w:ind w:left="1540" w:right="280" w:hanging="297"/>
        <w:spacing w:after="0" w:line="308"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865,032 shares of common stock issuable upon the exercise of stock options outstanding as of March 31, 2021 under our 2020 Equity Incentive Plan, or the 2020 Plan, with a weighted-average exercise price of $4.87 per share;</w:t>
      </w:r>
    </w:p>
    <w:p>
      <w:pPr>
        <w:spacing w:after="0" w:line="51" w:lineRule="exact"/>
        <w:rPr>
          <w:rFonts w:ascii="Arial" w:cs="Arial" w:eastAsia="Arial" w:hAnsi="Arial"/>
          <w:sz w:val="17"/>
          <w:szCs w:val="17"/>
          <w:color w:val="auto"/>
        </w:rPr>
      </w:pPr>
    </w:p>
    <w:p>
      <w:pPr>
        <w:ind w:left="1540" w:right="18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132,746 shares of common stock issuable upon the exercise of stock options granted after March 31, 2021 under our 2020 Plan, with a weighted-average exercise price of $24.34 per share;</w:t>
      </w:r>
    </w:p>
    <w:p>
      <w:pPr>
        <w:spacing w:after="0" w:line="197" w:lineRule="exact"/>
        <w:rPr>
          <w:rFonts w:ascii="Arial" w:cs="Arial" w:eastAsia="Arial" w:hAnsi="Arial"/>
          <w:sz w:val="18"/>
          <w:szCs w:val="18"/>
          <w:color w:val="auto"/>
        </w:rPr>
      </w:pPr>
    </w:p>
    <w:p>
      <w:pPr>
        <w:ind w:left="2120" w:hanging="877"/>
        <w:spacing w:after="0"/>
        <w:tabs>
          <w:tab w:leader="none" w:pos="2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2021 Equity Incentive Plan, or the 2021 Plan, which will</w:t>
      </w:r>
    </w:p>
    <w:p>
      <w:pPr>
        <w:spacing w:after="0" w:line="46" w:lineRule="exact"/>
        <w:rPr>
          <w:sz w:val="20"/>
          <w:szCs w:val="20"/>
          <w:color w:val="auto"/>
        </w:rPr>
      </w:pPr>
    </w:p>
    <w:p>
      <w:pPr>
        <w:ind w:left="1540" w:right="60"/>
        <w:spacing w:after="0" w:line="255" w:lineRule="auto"/>
        <w:rPr>
          <w:sz w:val="20"/>
          <w:szCs w:val="20"/>
          <w:color w:val="auto"/>
        </w:rPr>
      </w:pPr>
      <w:r>
        <w:rPr>
          <w:rFonts w:ascii="Arial" w:cs="Arial" w:eastAsia="Arial" w:hAnsi="Arial"/>
          <w:sz w:val="18"/>
          <w:szCs w:val="18"/>
          <w:color w:val="auto"/>
        </w:rPr>
        <w:t>become effective on the day prior to the public trading date of our common stock (including shares of common stock reserved for future grant or issuance under our 2020 Plan as of March 31, 2021, which shares will be added to the shares reserved under the 2021 Plan upon its effectiveness); 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40" w:hanging="297"/>
        <w:spacing w:after="0" w:line="263" w:lineRule="auto"/>
        <w:tabs>
          <w:tab w:leader="none" w:pos="21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Employee Stock Purchase Plan, or the ESPP, as well as any annual automatic increases in the number of shares of our common stock reserved for future issuance under the ESPP, which will become effective in connection with the completion of this offering.</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252" w:lineRule="exact"/>
        <w:rPr>
          <w:sz w:val="20"/>
          <w:szCs w:val="20"/>
          <w:color w:val="auto"/>
        </w:rPr>
      </w:pPr>
    </w:p>
    <w:p>
      <w:pPr>
        <w:ind w:left="154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an aggregate of 10,097,839 shares of our common stock immediately prior to the completion of this offering;</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in this offering;</w:t>
      </w:r>
    </w:p>
    <w:p>
      <w:pPr>
        <w:spacing w:after="0" w:line="252" w:lineRule="exact"/>
        <w:rPr>
          <w:rFonts w:ascii="Arial" w:cs="Arial" w:eastAsia="Arial" w:hAnsi="Arial"/>
          <w:sz w:val="18"/>
          <w:szCs w:val="18"/>
          <w:color w:val="auto"/>
        </w:rPr>
      </w:pPr>
    </w:p>
    <w:p>
      <w:pPr>
        <w:ind w:left="1540" w:right="26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immediately prior to the completion of this offering; and</w:t>
      </w:r>
    </w:p>
    <w:p>
      <w:pPr>
        <w:spacing w:after="0" w:line="197" w:lineRule="exact"/>
        <w:rPr>
          <w:sz w:val="20"/>
          <w:szCs w:val="20"/>
          <w:color w:val="auto"/>
        </w:rPr>
      </w:pPr>
    </w:p>
    <w:p>
      <w:pPr>
        <w:ind w:left="1540" w:right="580" w:hanging="299"/>
        <w:spacing w:after="0" w:line="277" w:lineRule="auto"/>
        <w:tabs>
          <w:tab w:leader="none" w:pos="1520" w:val="left"/>
        </w:tabs>
        <w:rPr>
          <w:sz w:val="20"/>
          <w:szCs w:val="20"/>
          <w:color w:val="auto"/>
        </w:rPr>
      </w:pPr>
      <w:r>
        <w:rPr>
          <w:rFonts w:ascii="Arial" w:cs="Arial" w:eastAsia="Arial" w:hAnsi="Arial"/>
          <w:sz w:val="18"/>
          <w:szCs w:val="18"/>
          <w:color w:val="auto"/>
        </w:rPr>
        <w:t>•</w:t>
        <w:tab/>
        <w:t>a 1 – for – stock split of our common stock to be effected prior to the effectiveness of the registration of which this prospectus forms a part.</w:t>
      </w:r>
    </w:p>
    <w:p>
      <w:pPr>
        <w:spacing w:after="0" w:line="170" w:lineRule="exact"/>
        <w:rPr>
          <w:sz w:val="20"/>
          <w:szCs w:val="20"/>
          <w:color w:val="auto"/>
        </w:rPr>
      </w:pPr>
    </w:p>
    <w:p>
      <w:pPr>
        <w:ind w:left="300" w:right="120" w:firstLine="852"/>
        <w:spacing w:after="0" w:line="277" w:lineRule="auto"/>
        <w:rPr>
          <w:sz w:val="20"/>
          <w:szCs w:val="20"/>
          <w:color w:val="auto"/>
        </w:rPr>
      </w:pPr>
      <w:r>
        <w:rPr>
          <w:rFonts w:ascii="Arial" w:cs="Arial" w:eastAsia="Arial" w:hAnsi="Arial"/>
          <w:sz w:val="18"/>
          <w:szCs w:val="18"/>
          <w:color w:val="auto"/>
        </w:rPr>
        <w:t>See Note 7 to our audited and unaudited financial statements included elsewhere in this prospectus for a discussion of our outstanding restricted common stock.</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60" w:firstLine="852"/>
        <w:spacing w:after="0" w:line="273" w:lineRule="auto"/>
        <w:rPr>
          <w:sz w:val="20"/>
          <w:szCs w:val="20"/>
          <w:color w:val="auto"/>
        </w:rPr>
      </w:pPr>
      <w:r>
        <w:rPr>
          <w:rFonts w:ascii="Arial" w:cs="Arial" w:eastAsia="Arial" w:hAnsi="Arial"/>
          <w:sz w:val="17"/>
          <w:szCs w:val="17"/>
          <w:color w:val="auto"/>
        </w:rPr>
        <w:t>The following tables summarize our financial data as of, and for the periods ended on, the dates indicated. We have derived the statement of operations data for the years ended December 31, 2019 and 2020 from our audited financial statements appearing at the end of this prospectus. The statement of operations data for the three months ended March 31, 2020 and 2021 and the balance sheet data as of March 31, 2021 have been derived from our unaudited financial statements appearing at the end of this prospectus and have been prepared on the same basis as the audited financial statements. In the opinion of our management, the unaudited data reflects all adjustments, consisting of normal and recurring adjustments, necessary for the fair statement of results as of and for these periods.</w:t>
      </w:r>
    </w:p>
    <w:p>
      <w:pPr>
        <w:spacing w:after="0" w:line="178" w:lineRule="exact"/>
        <w:rPr>
          <w:sz w:val="20"/>
          <w:szCs w:val="20"/>
          <w:color w:val="auto"/>
        </w:rPr>
      </w:pPr>
    </w:p>
    <w:p>
      <w:pPr>
        <w:ind w:left="300" w:right="180" w:firstLine="852"/>
        <w:spacing w:after="0" w:line="311" w:lineRule="auto"/>
        <w:rPr>
          <w:sz w:val="20"/>
          <w:szCs w:val="20"/>
          <w:color w:val="auto"/>
        </w:rPr>
      </w:pPr>
      <w:r>
        <w:rPr>
          <w:rFonts w:ascii="Arial" w:cs="Arial" w:eastAsia="Arial" w:hAnsi="Arial"/>
          <w:sz w:val="16"/>
          <w:szCs w:val="16"/>
          <w:color w:val="auto"/>
        </w:rPr>
        <w:t>Our historical results are not necessarily indicative of the results that may be expected in the future. The following summary financial data should be read in conjunction with the section of this prospectus titled “Management’s Discussion and Analysis of Financial Condition and Results of Operations” and our audited and unaudited financial statements and related notes included elsewhere in this prospectus.</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93"/>
              </w:rPr>
              <w:t>Three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left="318"/>
              <w:spacing w:after="0" w:line="119" w:lineRule="exact"/>
              <w:rPr>
                <w:sz w:val="20"/>
                <w:szCs w:val="20"/>
                <w:color w:val="auto"/>
              </w:rPr>
            </w:pPr>
            <w:r>
              <w:rPr>
                <w:rFonts w:ascii="Arial" w:cs="Arial" w:eastAsia="Arial" w:hAnsi="Arial"/>
                <w:sz w:val="13"/>
                <w:szCs w:val="13"/>
                <w:b w:val="1"/>
                <w:bCs w:val="1"/>
                <w:color w:val="auto"/>
              </w:rPr>
              <w:t>(unaudited)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gridSpan w:val="10"/>
          </w:tcPr>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1,790</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7,203</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32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4,211</w:t>
            </w:r>
          </w:p>
        </w:tc>
        <w:tc>
          <w:tcPr>
            <w:tcW w:w="0" w:type="dxa"/>
            <w:vAlign w:val="bottom"/>
          </w:tcPr>
          <w:p>
            <w:pPr>
              <w:spacing w:after="0"/>
              <w:rPr>
                <w:sz w:val="1"/>
                <w:szCs w:val="1"/>
                <w:color w:val="auto"/>
              </w:rPr>
            </w:pPr>
          </w:p>
        </w:tc>
      </w:tr>
      <w:tr>
        <w:trPr>
          <w:trHeight w:val="209"/>
        </w:trPr>
        <w:tc>
          <w:tcPr>
            <w:tcW w:w="6000" w:type="dxa"/>
            <w:vAlign w:val="bottom"/>
            <w:gridSpan w:val="3"/>
          </w:tcPr>
          <w:p>
            <w:pPr>
              <w:spacing w:after="0"/>
              <w:rPr>
                <w:sz w:val="20"/>
                <w:szCs w:val="20"/>
                <w:color w:val="auto"/>
              </w:rPr>
            </w:pPr>
            <w:r>
              <w:rPr>
                <w:rFonts w:ascii="Arial" w:cs="Arial" w:eastAsia="Arial" w:hAnsi="Arial"/>
                <w:sz w:val="17"/>
                <w:szCs w:val="17"/>
                <w:color w:val="auto"/>
              </w:rPr>
              <w:t>Loss from operations</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(9,297)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(1,456)</w:t>
            </w: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(4,211)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 income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tcPr>
          <w:p>
            <w:pPr>
              <w:ind w:left="320"/>
              <w:spacing w:after="0"/>
              <w:rPr>
                <w:sz w:val="20"/>
                <w:szCs w:val="20"/>
                <w:color w:val="auto"/>
              </w:rPr>
            </w:pPr>
            <w:r>
              <w:rPr>
                <w:rFonts w:ascii="Arial" w:cs="Arial" w:eastAsia="Arial" w:hAnsi="Arial"/>
                <w:sz w:val="17"/>
                <w:szCs w:val="17"/>
                <w:color w:val="auto"/>
              </w:rPr>
              <w:t>Interest (expense) income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Change in fair value of simple agreement for future equity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tcPr>
          <w:p>
            <w:pPr>
              <w:ind w:left="320"/>
              <w:spacing w:after="0"/>
              <w:rPr>
                <w:sz w:val="20"/>
                <w:szCs w:val="20"/>
                <w:color w:val="auto"/>
              </w:rPr>
            </w:pPr>
            <w:r>
              <w:rPr>
                <w:rFonts w:ascii="Arial" w:cs="Arial" w:eastAsia="Arial" w:hAnsi="Arial"/>
                <w:sz w:val="17"/>
                <w:szCs w:val="17"/>
                <w:color w:val="auto"/>
              </w:rPr>
              <w:t>Other expense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other (expense) income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gridSpan w:val="3"/>
          </w:tcPr>
          <w:p>
            <w:pPr>
              <w:spacing w:after="0"/>
              <w:rPr>
                <w:sz w:val="20"/>
                <w:szCs w:val="20"/>
                <w:color w:val="auto"/>
              </w:rPr>
            </w:pPr>
            <w:r>
              <w:rPr>
                <w:rFonts w:ascii="Arial" w:cs="Arial" w:eastAsia="Arial" w:hAnsi="Arial"/>
                <w:sz w:val="17"/>
                <w:szCs w:val="17"/>
                <w:color w:val="auto"/>
              </w:rPr>
              <w:t>Net loss and comprehensive loss</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(4,065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(9,336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(1,474</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(4,209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per share, basic and diluted(1)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(2.77)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7"/>
                <w:szCs w:val="17"/>
                <w:color w:val="auto"/>
                <w:w w:val="96"/>
              </w:rPr>
              <w:t>Weighted average shares used to compute net loss per share, basic and diluted(1)</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1,020,394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593,744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531,832</w:t>
            </w:r>
          </w:p>
        </w:tc>
        <w:tc>
          <w:tcPr>
            <w:tcW w:w="50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773,611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 forma net loss per share, basic and diluted (unaudited)(2)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7"/>
                <w:szCs w:val="17"/>
                <w:color w:val="auto"/>
                <w:w w:val="94"/>
              </w:rPr>
              <w:t>Pro forma weighted average shares of common stock, basic and diluted (unaudited)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60" w:type="dxa"/>
            <w:vAlign w:val="bottom"/>
            <w:gridSpan w:val="2"/>
          </w:tcPr>
          <w:p>
            <w:pPr>
              <w:ind w:left="180"/>
              <w:spacing w:after="0"/>
              <w:rPr>
                <w:sz w:val="20"/>
                <w:szCs w:val="20"/>
                <w:color w:val="auto"/>
              </w:rPr>
            </w:pPr>
            <w:r>
              <w:rPr>
                <w:rFonts w:ascii="Arial" w:cs="Arial" w:eastAsia="Arial" w:hAnsi="Arial"/>
                <w:sz w:val="17"/>
                <w:szCs w:val="17"/>
                <w:color w:val="auto"/>
              </w:rPr>
              <w:t>(2)</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60" w:hanging="422"/>
        <w:spacing w:after="0" w:line="291"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Note 2 to our audited financial statements included elsewhere in this prospectus for an explanation of the method used to calculate the historical net loss per share, basic and diluted, and the number of shares used in the computation of the per share amounts.</w:t>
      </w:r>
    </w:p>
    <w:p>
      <w:pPr>
        <w:ind w:left="720" w:right="160" w:hanging="422"/>
        <w:spacing w:after="0" w:line="26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Unaudited pro forma net loss per share, basic and diluted, attributable to common stockholders, is calculated giving effect to the conversion of the convertible preferred stock into shares of common stock. Unaudited</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27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0272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60"/>
        <w:spacing w:after="0" w:line="257" w:lineRule="auto"/>
        <w:rPr>
          <w:sz w:val="20"/>
          <w:szCs w:val="20"/>
          <w:color w:val="auto"/>
        </w:rPr>
      </w:pPr>
      <w:r>
        <w:rPr>
          <w:rFonts w:ascii="Arial" w:cs="Arial" w:eastAsia="Arial" w:hAnsi="Arial"/>
          <w:sz w:val="18"/>
          <w:szCs w:val="18"/>
          <w:color w:val="auto"/>
        </w:rPr>
        <w:t>pro forma net loss per share attributable to common stockholders does not include the shares expected to be sold and related proceeds to be received in this offering. Unaudited pro forma net loss per share attributable to common stockholders for the year ended December 31, 2020 and the period ended March 31, 2021 was calculated using the weighted-average number of shares of common stock outstanding, including the pro forma effect of the conversion of all outstanding shares of our convertible preferred stock into shares of our common stock, as if such conversion had occurred at the beginning of the period.</w:t>
      </w:r>
    </w:p>
    <w:p>
      <w:pPr>
        <w:spacing w:after="0" w:line="206"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As of March 31, 2021</w:t>
      </w:r>
    </w:p>
    <w:p>
      <w:pPr>
        <w:spacing w:after="0" w:line="10" w:lineRule="exact"/>
        <w:rPr>
          <w:sz w:val="20"/>
          <w:szCs w:val="20"/>
          <w:color w:val="auto"/>
        </w:rPr>
      </w:pPr>
    </w:p>
    <w:tbl>
      <w:tblPr>
        <w:tblLayout w:type="fixed"/>
        <w:tblInd w:w="300" w:type="dxa"/>
        <w:tblCellMar>
          <w:top w:w="0" w:type="dxa"/>
          <w:left w:w="0" w:type="dxa"/>
          <w:bottom w:w="0" w:type="dxa"/>
          <w:right w:w="0" w:type="dxa"/>
        </w:tblCellMar>
      </w:tblPr>
      <w:tr>
        <w:trPr>
          <w:trHeight w:val="119"/>
        </w:trPr>
        <w:tc>
          <w:tcPr>
            <w:tcW w:w="50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Pro</w:t>
            </w:r>
          </w:p>
        </w:tc>
        <w:tc>
          <w:tcPr>
            <w:tcW w:w="1080" w:type="dxa"/>
            <w:vAlign w:val="bottom"/>
            <w:tcBorders>
              <w:top w:val="single" w:sz="8" w:color="auto"/>
            </w:tcBorders>
          </w:tcPr>
          <w:p>
            <w:pPr>
              <w:jc w:val="center"/>
              <w:ind w:left="13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Actual</w:t>
            </w:r>
          </w:p>
        </w:tc>
        <w:tc>
          <w:tcPr>
            <w:tcW w:w="1260" w:type="dxa"/>
            <w:vAlign w:val="bottom"/>
            <w:vMerge w:val="continue"/>
          </w:tcPr>
          <w:p>
            <w:pPr>
              <w:spacing w:after="0"/>
              <w:rPr>
                <w:sz w:val="12"/>
                <w:szCs w:val="12"/>
                <w:color w:val="auto"/>
              </w:rPr>
            </w:pPr>
          </w:p>
        </w:tc>
        <w:tc>
          <w:tcPr>
            <w:tcW w:w="1140" w:type="dxa"/>
            <w:vAlign w:val="bottom"/>
            <w:gridSpan w:val="2"/>
          </w:tcPr>
          <w:p>
            <w:pPr>
              <w:jc w:val="center"/>
              <w:ind w:left="7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p>
        </w:tc>
        <w:tc>
          <w:tcPr>
            <w:tcW w:w="1140" w:type="dxa"/>
            <w:vAlign w:val="bottom"/>
            <w:gridSpan w:val="2"/>
          </w:tcPr>
          <w:p>
            <w:pPr>
              <w:jc w:val="center"/>
              <w:ind w:left="70"/>
              <w:spacing w:after="0"/>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2"/>
                <w:szCs w:val="12"/>
                <w:b w:val="1"/>
                <w:bCs w:val="1"/>
                <w:color w:val="auto"/>
                <w:w w:val="94"/>
              </w:rPr>
              <w:t>(2)(3)</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$140,638</w:t>
            </w: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139,293</w:t>
            </w: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assets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141,809</w:t>
            </w: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157,274</w:t>
            </w: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4480" w:type="dxa"/>
            <w:vAlign w:val="bottom"/>
            <w:gridSpan w:val="3"/>
          </w:tcPr>
          <w:p>
            <w:pPr>
              <w:jc w:val="right"/>
              <w:ind w:right="1148"/>
              <w:spacing w:after="0"/>
              <w:rPr>
                <w:sz w:val="20"/>
                <w:szCs w:val="20"/>
                <w:color w:val="auto"/>
              </w:rPr>
            </w:pPr>
            <w:r>
              <w:rPr>
                <w:rFonts w:ascii="Arial" w:cs="Arial" w:eastAsia="Arial" w:hAnsi="Arial"/>
                <w:sz w:val="18"/>
                <w:szCs w:val="18"/>
                <w:color w:val="auto"/>
              </w:rPr>
              <w:t>$ (17,522)</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20" w:hanging="422"/>
        <w:spacing w:after="0" w:line="269"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Gives effect to (i) the automatic conversion of all outstanding shares of convertible preferred stock into an aggregate of 10,097,839 shares of our common stock immediately prior to the completion of this offering and the related reclassification of the carrying value of the convertible preferred stock to permanent equity immediately prior to the completion of this offering and (ii) the filing and effectiveness of our amended and restated certificate of incorporation, which will occur upon the completion of this offering.</w:t>
      </w:r>
    </w:p>
    <w:p>
      <w:pPr>
        <w:spacing w:after="0" w:line="2" w:lineRule="exact"/>
        <w:rPr>
          <w:sz w:val="20"/>
          <w:szCs w:val="20"/>
          <w:color w:val="auto"/>
        </w:rPr>
      </w:pPr>
    </w:p>
    <w:p>
      <w:pPr>
        <w:ind w:left="300"/>
        <w:spacing w:after="0"/>
        <w:tabs>
          <w:tab w:leader="none" w:pos="700" w:val="left"/>
          <w:tab w:leader="none" w:pos="7960" w:val="left"/>
        </w:tabs>
        <w:rPr>
          <w:sz w:val="20"/>
          <w:szCs w:val="20"/>
          <w:color w:val="auto"/>
        </w:rPr>
      </w:pPr>
      <w:r>
        <w:rPr>
          <w:rFonts w:ascii="Arial" w:cs="Arial" w:eastAsia="Arial" w:hAnsi="Arial"/>
          <w:sz w:val="18"/>
          <w:szCs w:val="18"/>
          <w:color w:val="auto"/>
        </w:rPr>
        <w:t>(2)</w:t>
        <w:tab/>
        <w:t>Gives effect to (i) the pro forma adjustments set forth above and (ii) the issuance and sale of</w:t>
      </w:r>
      <w:r>
        <w:rPr>
          <w:sz w:val="20"/>
          <w:szCs w:val="20"/>
          <w:color w:val="auto"/>
        </w:rPr>
        <w:tab/>
      </w:r>
      <w:r>
        <w:rPr>
          <w:rFonts w:ascii="Arial" w:cs="Arial" w:eastAsia="Arial" w:hAnsi="Arial"/>
          <w:sz w:val="16"/>
          <w:szCs w:val="16"/>
          <w:color w:val="auto"/>
        </w:rPr>
        <w:t>shares of common stock in this offering</w:t>
      </w:r>
    </w:p>
    <w:p>
      <w:pPr>
        <w:spacing w:after="0" w:line="9" w:lineRule="exact"/>
        <w:rPr>
          <w:sz w:val="20"/>
          <w:szCs w:val="20"/>
          <w:color w:val="auto"/>
        </w:rPr>
      </w:pPr>
    </w:p>
    <w:p>
      <w:pPr>
        <w:ind w:left="720"/>
        <w:spacing w:after="0"/>
        <w:tabs>
          <w:tab w:leader="none" w:pos="4600" w:val="left"/>
        </w:tabs>
        <w:rPr>
          <w:sz w:val="20"/>
          <w:szCs w:val="20"/>
          <w:color w:val="auto"/>
        </w:rPr>
      </w:pPr>
      <w:r>
        <w:rPr>
          <w:rFonts w:ascii="Arial" w:cs="Arial" w:eastAsia="Arial" w:hAnsi="Arial"/>
          <w:sz w:val="18"/>
          <w:szCs w:val="18"/>
          <w:color w:val="auto"/>
        </w:rPr>
        <w:t>at an assumed initial public offering price of $</w:t>
      </w:r>
      <w:r>
        <w:rPr>
          <w:sz w:val="20"/>
          <w:szCs w:val="20"/>
          <w:color w:val="auto"/>
        </w:rPr>
        <w:tab/>
      </w:r>
      <w:r>
        <w:rPr>
          <w:rFonts w:ascii="Arial" w:cs="Arial" w:eastAsia="Arial" w:hAnsi="Arial"/>
          <w:sz w:val="16"/>
          <w:szCs w:val="16"/>
          <w:color w:val="auto"/>
        </w:rPr>
        <w:t>per share, which is the midpoint of the price range set forth on the cover page of this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prospectus, after deducting estimated underwriting discounts and commissions and estimated offering expenses payable by us.</w:t>
      </w:r>
    </w:p>
    <w:p>
      <w:pPr>
        <w:spacing w:after="0" w:line="9" w:lineRule="exact"/>
        <w:rPr>
          <w:sz w:val="20"/>
          <w:szCs w:val="20"/>
          <w:color w:val="auto"/>
        </w:rPr>
      </w:pPr>
    </w:p>
    <w:p>
      <w:pPr>
        <w:ind w:left="720" w:hanging="42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 forma as adjusted balance sheet data is illustrative only and will change based on the actual initial public offering price and other terms of</w:t>
      </w:r>
    </w:p>
    <w:p>
      <w:pPr>
        <w:spacing w:after="0" w:line="32" w:lineRule="exact"/>
        <w:rPr>
          <w:sz w:val="20"/>
          <w:szCs w:val="20"/>
          <w:color w:val="auto"/>
        </w:rPr>
      </w:pPr>
    </w:p>
    <w:p>
      <w:pPr>
        <w:ind w:left="720" w:right="80"/>
        <w:spacing w:after="0" w:line="281" w:lineRule="auto"/>
        <w:rPr>
          <w:sz w:val="20"/>
          <w:szCs w:val="20"/>
          <w:color w:val="auto"/>
        </w:rPr>
      </w:pPr>
      <w:r>
        <w:rPr>
          <w:rFonts w:ascii="Arial" w:cs="Arial" w:eastAsia="Arial" w:hAnsi="Arial"/>
          <w:sz w:val="16"/>
          <w:szCs w:val="16"/>
          <w:color w:val="auto"/>
        </w:rPr>
        <w:t>this offering determined at pricing. Each $1.00 increase (decrease) in the assumed initial public offering price of $ per share, which is the midpoint of the price range set forth on the cover page of this prospectus, would increase (decrease) pro forma as adjusted cash and cash</w:t>
      </w:r>
    </w:p>
    <w:p>
      <w:pPr>
        <w:spacing w:after="0" w:line="1" w:lineRule="exact"/>
        <w:rPr>
          <w:sz w:val="20"/>
          <w:szCs w:val="20"/>
          <w:color w:val="auto"/>
        </w:rPr>
      </w:pPr>
    </w:p>
    <w:p>
      <w:pPr>
        <w:ind w:left="720" w:right="20"/>
        <w:spacing w:after="0" w:line="281" w:lineRule="auto"/>
        <w:rPr>
          <w:sz w:val="20"/>
          <w:szCs w:val="20"/>
          <w:color w:val="auto"/>
        </w:rPr>
      </w:pPr>
      <w:r>
        <w:rPr>
          <w:rFonts w:ascii="Arial" w:cs="Arial" w:eastAsia="Arial" w:hAnsi="Arial"/>
          <w:sz w:val="16"/>
          <w:szCs w:val="16"/>
          <w:color w:val="auto"/>
        </w:rPr>
        <w:t>equivalents, working capital, total assets and total stockholders’ (deficit) equity by approximately $ million,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(decrease) in the number of shares offered by us would increase or decrease pro forma as adjusted cash and cash equivalents, working capital, total assets</w:t>
      </w:r>
    </w:p>
    <w:p>
      <w:pPr>
        <w:spacing w:after="0" w:line="2" w:lineRule="exact"/>
        <w:rPr>
          <w:sz w:val="20"/>
          <w:szCs w:val="20"/>
          <w:color w:val="auto"/>
        </w:rPr>
      </w:pPr>
    </w:p>
    <w:p>
      <w:pPr>
        <w:ind w:left="720" w:right="200"/>
        <w:spacing w:after="0" w:line="250" w:lineRule="auto"/>
        <w:rPr>
          <w:sz w:val="20"/>
          <w:szCs w:val="20"/>
          <w:color w:val="auto"/>
        </w:rPr>
      </w:pPr>
      <w:r>
        <w:rPr>
          <w:rFonts w:ascii="Arial" w:cs="Arial" w:eastAsia="Arial" w:hAnsi="Arial"/>
          <w:sz w:val="18"/>
          <w:szCs w:val="18"/>
          <w:color w:val="auto"/>
        </w:rPr>
        <w:t>and total stockholders’ deficit by approximately $ million, assuming that the assumed initial offering price to the public remains the same, and after deducting estimated underwriting discounts and commissions.</w:t>
      </w:r>
    </w:p>
    <w:p>
      <w:pPr>
        <w:spacing w:after="0" w:line="1" w:lineRule="exact"/>
        <w:rPr>
          <w:sz w:val="20"/>
          <w:szCs w:val="20"/>
          <w:color w:val="auto"/>
        </w:rPr>
      </w:pPr>
    </w:p>
    <w:p>
      <w:pPr>
        <w:ind w:left="720" w:right="260" w:hanging="422"/>
        <w:spacing w:after="0" w:line="26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and in the section titled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market price of our common stock could decline and you could lose part or all of your investment. Additional risk and uncertainties not presently known to us or that we currently deem immaterial also may impair our business and operations and the market price of our common stock.</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29"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We are very early in our development efforts, have limited operating history, have not initiated or completed any clinical trials, and have no products approved for commercial sale, which may make it difficult for investors to evaluate our current business and likelihood of success and viability.</w:t>
      </w:r>
    </w:p>
    <w:p>
      <w:pPr>
        <w:spacing w:after="0" w:line="10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Investment in drug development is a highly speculative undertaking and involves a substantial degree of risk. We are a preclinical-stage biopharmaceutical company formed in 2018 with a limited operating history upon which you can evaluate our business and prospects. Our development programs, including our lead product candidate, TYRA-300, are either in preclinical development or in the drug discovery stage. To date, we have focused primarily on organizing and staffing our company, business planning, raising capital, research and development activities including development of our proprietary SNÅP platform and identifying potential product candidates, establishing our intellectual property portfolio, conducting research and preclinical studies, and providing general and administrative support to these operations. Our approach to the discovery and development of product candidates based on our proprietary SNÅP platform is unproven, and we do not know whether we will be able to develop any product candidates that are successful in clinical development or products of commercial value.</w:t>
      </w:r>
    </w:p>
    <w:p>
      <w:pPr>
        <w:spacing w:after="0" w:line="17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As an organization, we have not yet initiated or completed any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8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we expect to continue to incur significant net losses for the foreseeable future.</w:t>
      </w:r>
    </w:p>
    <w:p>
      <w:pPr>
        <w:spacing w:after="0" w:line="170"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We have incurred significant operating losses since our inception. Our net losses were $4.1 million and $9.3 million for the years ended December 31, 2019 and December 31, 2020, respectively, and $4.2 million for the three months ended March 31, 2021. As of March 31, 2021, we had an accumulated deficit of $18.3 million. Substantially all of our losses have resulted from expenses incurred in connection with our research and development programs and from general and administrative costs associated with our operations. TYRA-300 and any of our other product candidates will require substantial additional development time and resources before we are able to apply for, or receive, marketing approval and begin generating revenue from product sales. We expect to continue to incur losses for the foreseeable future, and we anticipate these losses will increase substantially as we continue our development of, and seek marketing approval for, and potentially commercialize any of our product candidates and as we seek to discover, develop and market additional potential product candidates.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discovery, development and commercialization of our product candidates.</w:t>
      </w:r>
    </w:p>
    <w:p>
      <w:pPr>
        <w:spacing w:after="0" w:line="170"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To generate revenue and achieve profitability, we must succeed in developing and eventually commercializing product candidates that generate significant revenue. This will require us to be successful in a range of challenging activities, including identifying lead product candidates, completing preclinical studies and clinical trials of our product candidates, discovering additional product candidates, obtaining marketing approval for these product candidates and manufacturing, marketing and selling any products for which we may obtain marketing approval. We are only in the preliminary stages of many of these activities. We may never succeed in these activities and, even if we succeed in commercializing one or more of our product candidates do, we may never generate revenues that are significant or large enough to achieve profitability. In addition, we have not yet demonstrated an ability to successfully overcome many of the risks and uncertainties frequently encountered by companies in new and rapidly evolving fields, particularly in the biopharmaceutical industry.</w:t>
      </w:r>
    </w:p>
    <w:p>
      <w:pPr>
        <w:spacing w:after="0" w:line="17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Because of the numerous risks and uncertainties associated with biopharmaceutical product development, we are unable to accurately predict the timing or amount of increased expenses or when, or if, we will be able to achieve profitability. Even if we obtain marketing approval for one or more of our product candidates and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or even continue our operations. A decline in the value of our company could also cause you to lose all or part of your investment.</w:t>
      </w:r>
    </w:p>
    <w:p>
      <w:pPr>
        <w:spacing w:after="0" w:line="1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achieve our goals, and a failure to obtain this necessary capital when needed on acceptable terms, or at all, could force us to delay, limit, reduce or terminate our development programs, commercialization efforts or other operations.</w:t>
      </w:r>
    </w:p>
    <w:p>
      <w:pPr>
        <w:spacing w:after="0" w:line="184"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color w:val="auto"/>
        </w:rPr>
        <w:t>The development of biopharmaceutical product candidates is capital-intensive. We expect our expenses to increase in connection with our ongoing activities, particularly as we conduct our ongoing and planned preclinical studies for our development programs, initiate clinical trials for our product candidates and seek marketing approval for our current product candidates and any future product candidates we may develop. If we obtain marketing approval for any of our product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product candidates. Furthermore, following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Based upon our current operating plan, we believe that the net proceeds from this offering, together with our existing cash and cash</w:t>
      </w:r>
    </w:p>
    <w:p>
      <w:pPr>
        <w:spacing w:after="0" w:line="35"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equivalents, will enable us to fund our operations for at least the next months from the date of this prospectus. In particular, we expect that the net proceeds from this offering and our existing cash and cash equivalents will allow us . We have based these estimates on assumptions that may</w:t>
      </w:r>
    </w:p>
    <w:p>
      <w:pPr>
        <w:ind w:left="120" w:right="300"/>
        <w:spacing w:after="0" w:line="270" w:lineRule="auto"/>
        <w:rPr>
          <w:sz w:val="20"/>
          <w:szCs w:val="20"/>
          <w:color w:val="auto"/>
        </w:rPr>
      </w:pPr>
      <w:r>
        <w:rPr>
          <w:rFonts w:ascii="Arial" w:cs="Arial" w:eastAsia="Arial" w:hAnsi="Arial"/>
          <w:sz w:val="17"/>
          <w:szCs w:val="17"/>
          <w:color w:val="auto"/>
        </w:rPr>
        <w:t>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future capital requirements will depend on many factors, including, but not limited to:</w:t>
      </w:r>
    </w:p>
    <w:p>
      <w:pPr>
        <w:spacing w:after="0" w:line="252" w:lineRule="exact"/>
        <w:rPr>
          <w:sz w:val="20"/>
          <w:szCs w:val="20"/>
          <w:color w:val="auto"/>
        </w:rPr>
      </w:pPr>
    </w:p>
    <w:p>
      <w:pPr>
        <w:ind w:left="1420" w:right="42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which we are pursuing or may choose to pursue in the future;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costs and timing of manufacturing for our product candidates and commercial manufacturing if any product candidate is approved;</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efforts to enhance operational, compliance, and quality systems and hire additional personnel to satisfy our obligations as a public company, including enhanced internal controls over financial reporting;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 for commercial sale;</w:t>
      </w:r>
    </w:p>
    <w:p>
      <w:pPr>
        <w:spacing w:after="0" w:line="197"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 candidates, including but not limited to clinical trial requirements for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25" w:lineRule="exact"/>
        <w:rPr>
          <w:sz w:val="20"/>
          <w:szCs w:val="20"/>
          <w:color w:val="auto"/>
        </w:rPr>
      </w:pPr>
    </w:p>
    <w:p>
      <w:pPr>
        <w:ind w:left="120" w:right="500" w:firstLine="881"/>
        <w:spacing w:after="0" w:line="263" w:lineRule="auto"/>
        <w:rPr>
          <w:sz w:val="20"/>
          <w:szCs w:val="20"/>
          <w:color w:val="auto"/>
        </w:rPr>
      </w:pPr>
      <w:r>
        <w:rPr>
          <w:rFonts w:ascii="Arial" w:cs="Arial" w:eastAsia="Arial" w:hAnsi="Arial"/>
          <w:sz w:val="18"/>
          <w:szCs w:val="18"/>
          <w:color w:val="auto"/>
        </w:rPr>
        <w:t>Because we do not expect to generate commercial revenues, if any, from sales of products that we do not expect to be commercially available for many years, if at all, we will need to continue to rely on additional financing to achieve our business objectives. Adequate additional financing may not be available to us on acceptable terms, or at all.</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70"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Marketing Approval of Our Product Candidates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and all of our development programs are in the preclinical or discovery stage. If we are unable to successfully develop, obtain marketing approval and ultimately commercialize product candidates, or experience significant delays in doing so, our business will be materially harmed.</w:t>
      </w:r>
    </w:p>
    <w:p>
      <w:pPr>
        <w:spacing w:after="0" w:line="184"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We are in the early stages of our research and development efforts and all of our development programs, including TYRA-300, are either in the preclinical or drug discovery stage. We have invested substantially all of our efforts to date in developing our proprietary SNÅP platform, developing TYRA-300, identifying potential product candidates and conducting preclinical studies. We will need to progress TYRA-300 and our other product candidates through additional preclinical studies to enable us to submit an IND with the FDA and receive clearance from the FDA to proceed with initiating their clinical development. Our ability to generate product revenues, which we do not expect will occur for many years, if ever, will depend on the successful development and eventual commercialization of our product candidates. The success of our product candidates will depend on several factors, including the following:</w:t>
      </w:r>
    </w:p>
    <w:p>
      <w:pPr>
        <w:spacing w:after="0" w:line="204" w:lineRule="exact"/>
        <w:rPr>
          <w:sz w:val="20"/>
          <w:szCs w:val="20"/>
          <w:color w:val="auto"/>
        </w:rPr>
      </w:pPr>
    </w:p>
    <w:p>
      <w:pPr>
        <w:ind w:left="1420" w:right="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preclinical studies with favorable results, including those compliant with Good Laboratory Practice, or GLP, such as toxicology studies, biodistribution studies and minimum effective dose studies in animals;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by the FDA of INDs or of similar regulatory submissions by comparable foreign regulatory authorities for the conduct of clinical trials of TYRA-300 and our other product candidates and our proposed design of future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clinical trials with favorable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identification of new product candidates utilizing our SNÅP platform;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our third-party manufacturers for, or establishing, commercial manufacturing capabilities;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new drug applications, or NDAs, from the FDA and maintaining such approvals;</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52"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marketing approval, including acceptable results from any post-approval studies or clinical trials agreed to by us or required by the FDA;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commercialize our product candidates.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The FDA or comparable foreign regulatory authorities can refuse to accept INDs or similar regulatory submissions for many reasons, including negative or ambiguous results from our preclinical studies or disagreement with our interpretation of data from preclinical studies. If we are unable to develop, obtain marketing approval for, or, if approved, successfully commercialize our product candidates, we may not be able to generate sufficient revenue to continue our business.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As an organization, we have never conducted any clinical trials or submitted an application for marketing approval, and may be unable to do so for any of our product candidates.</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are early in our development efforts for our product candidates and we will need to successfully complete IND-enabling studies, Phase 1 clinical trials and later-stage and pivotal clinical trials, in order to obtain marketing authorization from the FDA or comparable foreign regulatory authorities to market TYRA-300 or any other product candidates. Carrying out clinical trials and the submission of a successful NDA is a complicated</w:t>
      </w:r>
    </w:p>
    <w:p>
      <w:pPr>
        <w:spacing w:after="0" w:line="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process. As an organization, we plan to commence our first Phase 1/2 clinical in , subject to receiving clearance to proceed under an IND. We have not previously conducted any clinical trials, have limited experience as a company in preparing, submitting and prosecuting regulatory filings and have not previously submitted an IND or an NDA or other comparable foreign regulatory submission for any product candidate. If we decide to develop TYRA-300 for multiple indications, we may be required to submit multiple INDs to the FDA for these indications and may not conduct a clinical trial in the United States for that indication until we do so. In addition, we have had limited interactions with the FDA and cannot be certain how many clinical trials of TYRA-300 or any other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spacing w:after="0" w:line="17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Preclinical and clinical development involves a lengthy and expensive process with an uncertain outcome, and the results of preclinical studies and early clinical trials are not necessarily predictive of future results. We have not tested any of our product candidates in clinical trials and our product candidates may not have favorable results in clinical trials, if any, or receive marketing approval on a timely basis, if at all.</w:t>
      </w:r>
    </w:p>
    <w:p>
      <w:pPr>
        <w:spacing w:after="0" w:line="14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delay or failure can occur at any time during the preclinical study or clinical trial process. Despite promising preclinical or clinical results, any biopharmaceutical company’s product candidate can unexpectedly fail at any stage of preclinical or clinical development, and regulators, such as the FDA or comparable foreign regulatory authorities, may not accept the results as demonstrating the product candidate’s safety and efficacy. The historical failure rate for product candidates in our industry is high.</w:t>
      </w:r>
    </w:p>
    <w:p>
      <w:pPr>
        <w:spacing w:after="0" w:line="192"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The results from preclinical studies or clinical trials of a product candidate may not predict the results of later clinical trials of the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we have conducted certain preclinical studies of TYRA-300 and other potential product candidates targeting acquired resistance mutations in FGFR3, FGFR2, RET, and FGFR4, we do not know whether TYRA-300 or the other potential product candidates will perform in future clinical trials as they have performed in these prior studies. The positive results we have observed for our product candidates in preclinical animal models may not be predictive of our future clinical trials in humans. It is not uncommon to observe results in clinical trials that are unexpected based on preclinical studies and early clinical trials, and many product candidates fail in clinical trials despite very promising early results. We are currently conducting IND-enabling preclinical studies for TYRA-300. If unexpected observations or toxicities are observed in these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studies, or in IND-enabling studies for any of our other product candidates, this will delay and possibly prevent or limit clinical trials for TYRA-300 or our other product candidates.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w:t>
      </w:r>
    </w:p>
    <w:p>
      <w:pPr>
        <w:spacing w:after="0" w:line="187"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For the foregoing reasons, we cannot be certain that our ongoing and planned preclinical studies and planned clinical trials will be successful. Any safety concerns observed in any one of our clinical trials in our targeted indications could impair the prospects for marketing approval of our product candidates in those and other indications, which could have a material adverse effect on our business, financial condition and results of operations.</w:t>
      </w:r>
    </w:p>
    <w:p>
      <w:pPr>
        <w:spacing w:after="0" w:line="187"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b w:val="1"/>
          <w:bCs w:val="1"/>
          <w:i w:val="1"/>
          <w:iCs w:val="1"/>
          <w:color w:val="auto"/>
        </w:rPr>
        <w:t>Our discovery and preclinical development activities are focused on the development of targeted therapeutics for patients with genomically defined cancers, which is a rapidly evolving area of science, and the approach we are taking to discover and develop drugs based on our SNÅP platform is novel and unproven and may never lead to approved products of commercial value.</w:t>
      </w:r>
    </w:p>
    <w:p>
      <w:pPr>
        <w:spacing w:after="0" w:line="16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The discovery and development of targeted therapeutics for patients with genomically defined cancers is an emerging field, and the scientific discoveries that form the basis for our efforts to discover and develop product candidates are relatively new. Although we believe, based on our preclinical work, that the genomic alterations targeted by our programs are oncogenic drivers, clinical results may not confirm this hypothesis or may only confirm it for certain alterations or certain tumor types. In addition, even if our approach is successful in showing clinical benefit for acquired resistance mutation-driven cancers for TYRA-300 inhibitor program, we may never successfully identify additional oncogenic alterations for other receptor tyrosine kinases using our SNÅP platform, or in identifying additional product candidates to address such alterations. Any product candidates we do discover and advance based on scientific approach may be later shown to have harmful side effects or may have other characteristics that may necessitate additional clinical testing, or make the product candidates unmarketable or unlikely to receive marketing approval. Therefore, we do not know if our approach of discovery and developing product candidates to treat patients with genomically defined cancers will be successful, and if our approach is unsuccessful, we may be forced to abandon our development efforts for a program or programs, which would have a material adverse effect on our business and could potentially cause us to cease operation.</w:t>
      </w:r>
    </w:p>
    <w:p>
      <w:pPr>
        <w:spacing w:after="0" w:line="182"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146" w:lineRule="exact"/>
        <w:rPr>
          <w:sz w:val="20"/>
          <w:szCs w:val="20"/>
          <w:color w:val="auto"/>
        </w:rPr>
      </w:pPr>
    </w:p>
    <w:p>
      <w:pPr>
        <w:jc w:val="both"/>
        <w:ind w:left="120" w:right="120" w:firstLine="881"/>
        <w:spacing w:after="0" w:line="287" w:lineRule="auto"/>
        <w:rPr>
          <w:sz w:val="20"/>
          <w:szCs w:val="20"/>
          <w:color w:val="auto"/>
        </w:rPr>
      </w:pPr>
      <w:r>
        <w:rPr>
          <w:rFonts w:ascii="Arial" w:cs="Arial" w:eastAsia="Arial" w:hAnsi="Arial"/>
          <w:sz w:val="16"/>
          <w:szCs w:val="16"/>
          <w:color w:val="auto"/>
        </w:rPr>
        <w:t>Before we can initiate clinical trials for our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application or similar regulatory filing required for regulatory acceptance before proceeding with</w:t>
      </w:r>
    </w:p>
    <w:p>
      <w:pPr>
        <w:spacing w:after="0" w:line="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clinical development. We are currently conducting IND-enabling studies for TYRA-300, and expect to submit an IND for TYRA-300 in , followed by initiation of a Phase 1/2 clinical trial. We will also need to complete IND-enabling studies and submit INDs for our other development programs prior to initiating clinical development. The FDA or comparable foreign regulatory authorities may require us to conduct additional preclinical studies for any product candidate before it allows us to initiate clinical trials under any IND or similar regulatory filing, which may lead to delays and increase the costs of our preclinical development programs. Moreover, even if these trials begin, issues may arise that could cause regulatory authorities to suspend or terminate such clinical trials. Any such delays in the commencement or completion of our planned clinical trials for TYRA-300, or any other product candidate, could significantly affect our product development timelines and development costs.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We do not know whether our planned trials will begin on time or be completed on schedule, if at all. The commencement and completion of clinical trials can be delayed for a number of reasons, including delays related to:</w:t>
      </w:r>
    </w:p>
    <w:p>
      <w:pPr>
        <w:spacing w:after="0" w:line="197" w:lineRule="exact"/>
        <w:rPr>
          <w:sz w:val="20"/>
          <w:szCs w:val="20"/>
          <w:color w:val="auto"/>
        </w:rPr>
      </w:pPr>
    </w:p>
    <w:p>
      <w:pPr>
        <w:ind w:left="1420" w:right="5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in vitro data to support the initiation or continuation of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clearance to commence a trial or reaching a consensus with regulatory authorities on trial design;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contract research organizations, or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reach an agreement with diagnostic companies for the use of liquid biopsy companion diagnostic tests in our clinical trials;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patients, or withdrawing their approval of the trial;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sufficient appropriately qualified investigators and other professionals to conduct the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52" w:lineRule="exact"/>
        <w:rPr>
          <w:rFonts w:ascii="Arial" w:cs="Arial" w:eastAsia="Arial" w:hAnsi="Arial"/>
          <w:sz w:val="18"/>
          <w:szCs w:val="18"/>
          <w:color w:val="auto"/>
        </w:rPr>
      </w:pPr>
    </w:p>
    <w:p>
      <w:pPr>
        <w:ind w:left="1420" w:right="560" w:hanging="319"/>
        <w:spacing w:after="0" w:line="263"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failing to enroll or remain in our trials at the rate we expect, or failing to return for post-treatment follow-up, including patients failing to remain in our trials due to movement restrictions, health reasons or otherwise resulting from the COVID-19 pandemic;</w:t>
      </w:r>
    </w:p>
    <w:p>
      <w:pPr>
        <w:spacing w:after="0" w:line="210"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choosing an alternative treatment for the indication for which we are developing our product candidates, or participating in competing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experiencing severe or unexpected drug-related adverse effects;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301" w:lineRule="auto"/>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facility manufacturing our product candidates or any of their components suspending or limiting manufacturing due to violations of current good manufacturing practice, or cGMP, or other applicable requirements, including infections or cross-contaminations of product candidates in the manufacturing process, or the facility being subject to other enforcement by the FDA or comparable foreign regulatory authorities that result in temporary or permanent manufacturing shut downs or product supply limitations;</w:t>
      </w:r>
    </w:p>
    <w:p>
      <w:pPr>
        <w:spacing w:after="0" w:line="184" w:lineRule="exact"/>
        <w:rPr>
          <w:rFonts w:ascii="Arial" w:cs="Arial" w:eastAsia="Arial" w:hAnsi="Arial"/>
          <w:sz w:val="16"/>
          <w:szCs w:val="16"/>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52" w:lineRule="exact"/>
        <w:rPr>
          <w:rFonts w:ascii="Arial" w:cs="Arial" w:eastAsia="Arial" w:hAnsi="Arial"/>
          <w:sz w:val="18"/>
          <w:szCs w:val="18"/>
          <w:color w:val="auto"/>
        </w:rPr>
      </w:pPr>
    </w:p>
    <w:p>
      <w:pPr>
        <w:ind w:left="1420" w:right="60" w:hanging="319"/>
        <w:spacing w:after="0" w:line="286" w:lineRule="auto"/>
        <w:tabs>
          <w:tab w:leader="none" w:pos="1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or being suspended or disqualified by the FDA or comparable foreign regulatory authorities, not performing our clinical trials on our anticipated schedule or consistent with the clinical trial protocol, good clinical practices, or GCP, or other regulatory requirements;</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252" w:lineRule="exact"/>
        <w:rPr>
          <w:rFonts w:ascii="Arial" w:cs="Arial" w:eastAsia="Arial" w:hAnsi="Arial"/>
          <w:sz w:val="18"/>
          <w:szCs w:val="18"/>
          <w:color w:val="auto"/>
        </w:rPr>
      </w:pPr>
    </w:p>
    <w:p>
      <w:pPr>
        <w:ind w:left="1420" w:right="300" w:hanging="319"/>
        <w:spacing w:after="0" w:line="286" w:lineRule="auto"/>
        <w:tabs>
          <w:tab w:leader="none" w:pos="1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5"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our trials are being conducted, by a Data Safety Monitoring Board for our trial or by the FDA or comparable foreign regulatory authorities. These authorities may impose such a suspension or termination due to a number of factors, including failure to conduct the clinical trial in accordance with regulatory requirements or our clinical protocols and to make the appropriate required records, inspection of the clinical trial operations or trial site by the FDA or comparable foreign regulatory authorities resulting in the imposition of a clinical hold, unforeseen safety issues or adverse side effects, failure to demonstrate a benefit from using a clinical trial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6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investigators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These authorities may conclude that a financial relationship between us and a principal investigator has created a conflict of interest or otherwise affected interpretation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 marketing application by the FDA or comparable foreign regulatory authorities and may ultimately lead to the denial of marketing approval of one or more of our product candidates.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proprietary SNÅP platform is innovative and unproven, and we do not know whether we will be able to develop any product candidates that are successful in clinical development or products of commercial value.</w:t>
      </w:r>
    </w:p>
    <w:p>
      <w:pPr>
        <w:spacing w:after="0" w:line="170"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products based on our proprietary SNÅP platform, which is designed to efficiently identify and selectively target vulnerabilities in the mutant proteins that commonly eliminate or reduce the effectiveness of standard-of-care therapies. Notwithstanding our preclinical study results for TYRA-300, we have not yet succeeded and may not succeed in demonstrating efficacy and safety for any product candidates in clinical trials or in obtaining marketing approval thereafter. TYRA-300 is in late preclinical development and we have not yet completed any clinical trials for any product candidate. Our SNÅP platform utilizes the rapid generation of precise molecular SNÅPshots to continually gain deeper insights into the structure of inhibitor binding sites and how commonly occurring resistance mutations lead to acquired drug resistance to existing therapies, which we believe aids in the prediction of amino acid residues most likely to cause resistance to specific existing therapies. This innovative process may never be successful in identifying additional product candidates with innovative structures that are able to inhibit the target while avoiding those specific residues. Further, because all of our product candidates and discovery programs are based on our SNÅP platform, adverse developments with respect to one of our programs may have a significant adverse impact on the actual or perceived likelihood of success and value of our other development programs.</w:t>
      </w:r>
    </w:p>
    <w:p>
      <w:pPr>
        <w:spacing w:after="0" w:line="17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addition, the biotechnology and biopharmaceutical industries are characterized by rapidly advancing technologies. Our future success will depend in part on our ability to maintain a competitive position with our innovative approach to compound identification. If we fail to stay at the forefront of technological innovation in utilizing our SNÅP platform, we may be unable to compete effectively.</w:t>
      </w:r>
    </w:p>
    <w:p>
      <w:pPr>
        <w:spacing w:after="0" w:line="1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We may not be able to complete clinical trials for our product candidates if we are unable to identify and enroll a sufficient number of eligible patients to participate in these trials as required by the FDA or comparable foreign regulatory authorities. Patient enrollment for our clinical trials may be affected by many factors, including:</w:t>
      </w:r>
    </w:p>
    <w:p>
      <w:pPr>
        <w:spacing w:after="0" w:line="211"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enrolled patients will not complete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 and</w:t>
      </w:r>
    </w:p>
    <w:p>
      <w:pPr>
        <w:spacing w:after="0" w:line="252"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and risks of the product candidate being studied in relation to other available therapies, including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new products that may be approved for the indications we are investigating as well as any product candidates under development.</w:t>
      </w:r>
    </w:p>
    <w:p>
      <w:pPr>
        <w:spacing w:after="0" w:line="248" w:lineRule="exact"/>
        <w:rPr>
          <w:sz w:val="20"/>
          <w:szCs w:val="20"/>
          <w:color w:val="auto"/>
        </w:rPr>
      </w:pPr>
    </w:p>
    <w:p>
      <w:pPr>
        <w:ind w:left="120" w:right="40" w:firstLine="881"/>
        <w:spacing w:after="0" w:line="253" w:lineRule="auto"/>
        <w:rPr>
          <w:sz w:val="20"/>
          <w:szCs w:val="20"/>
          <w:color w:val="auto"/>
        </w:rPr>
      </w:pPr>
      <w:r>
        <w:rPr>
          <w:rFonts w:ascii="Arial" w:cs="Arial" w:eastAsia="Arial" w:hAnsi="Arial"/>
          <w:sz w:val="18"/>
          <w:szCs w:val="18"/>
          <w:color w:val="auto"/>
        </w:rPr>
        <w:t>We will be required to identify and enroll a sufficient number of patients for each of our clinical trials.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We may not be able to initiate or continue clinical trials if we are unable to locate a sufficient number of eligible patients to participate in the clinical trials required by the FDA or comparable foreign regulatory authorities. In addition, the process of finding and diagnosing patients may prove costly.</w:t>
      </w:r>
    </w:p>
    <w:p>
      <w:pPr>
        <w:spacing w:after="0" w:line="196"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or the availability of other therapies, or we otherwise have difficulty enrolling a sufficient number of patients, the timeline for recruiting patients, conducting clinical trials and obtaining marketing approval of our product candidates may be delayed. Additionally, because our initial planned clinical trials will be in patients with relapsed/refractory cancer, these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patients for any of our clinical trials would result in significant delays or may require us to abandon one or more clinical trials altogether. In addition, we expect to rely on CROs and clinical trial sites to ensure proper and timely conduct of our clinical trials and, while we intend to enter into agreements governing their services, we will have limited influence over their actual performance.</w:t>
      </w:r>
    </w:p>
    <w:p>
      <w:pPr>
        <w:spacing w:after="0" w:line="168"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70" w:lineRule="exact"/>
        <w:rPr>
          <w:sz w:val="20"/>
          <w:szCs w:val="20"/>
          <w:color w:val="auto"/>
        </w:rPr>
      </w:pPr>
    </w:p>
    <w:p>
      <w:pPr>
        <w:jc w:val="both"/>
        <w:ind w:left="120"/>
        <w:spacing w:after="0" w:line="340" w:lineRule="auto"/>
        <w:rPr>
          <w:sz w:val="20"/>
          <w:szCs w:val="20"/>
          <w:color w:val="auto"/>
        </w:rPr>
      </w:pPr>
      <w:r>
        <w:rPr>
          <w:rFonts w:ascii="Arial" w:cs="Arial" w:eastAsia="Arial" w:hAnsi="Arial"/>
          <w:sz w:val="15"/>
          <w:szCs w:val="15"/>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3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not evaluated any of our product candidates in human clinical trials. It is impossible to predict when or if any product candidates we may develop will prove safe in humans. As is the case with biopharmaceuticals generally, and treatments for cancer and rare diseases in particular, it is likely that there may be side effects and adverse events associated with the use of our product candidates.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marketing approval by the FDA or comparable foreign regulatory authorities. If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Any of these occurrences may harm our business, financial condition and prospects significantly.</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the FDA or other applicable regulatory authorities, or an IRB, may suspend or terminate future clinical trials of a product candidate at any time for various reasons, including a belief that subjects in such trials are being exposed to unacceptable health risks or adverse side effects.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these product candidates becomes more widespread if they receive marketing approval, illnesses, injuries, discomforts and other adverse events that were observed in earlier trials, as well as conditions that did not occur or went undetected in previous trials, may be reported by patients. If such side effects become known later in development or upon approval, if any, such findings may harm our business, financial condition and prospects significantly.</w:t>
      </w:r>
    </w:p>
    <w:p>
      <w:pPr>
        <w:spacing w:after="0" w:line="188"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Patients treated with our products, if approved, may experience previously unreported adverse reactions, and it is possible that the FDA or comparable foreign regulatory authorities may ask for additional safety data as a condition of, or in connection with, our efforts to obtain approval of our product candidates. Even if the side effects do not preclude the product candidate from obtaining or maintaining marketing approval, undesirable side effects may inhibit market acceptance of the approved product due to its tolerability versus other therapies. If safety problems occur or are identified after our products, if any, are available for commercial sale and use, we may make the decision, or be required by regulatory authorities, to amend the labeling of our product candidates, recall our product candidates or even withdraw approval for an approved product.</w:t>
      </w:r>
    </w:p>
    <w:p>
      <w:pPr>
        <w:spacing w:after="0" w:line="164"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197" w:lineRule="exact"/>
        <w:rPr>
          <w:sz w:val="20"/>
          <w:szCs w:val="20"/>
          <w:color w:val="auto"/>
        </w:rPr>
      </w:pPr>
    </w:p>
    <w:p>
      <w:pPr>
        <w:ind w:left="1420" w:right="42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 or distribution;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252"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conduct additional clinical trials or change the labeling of a product or be required to conduct additional post-marketing studies or surveillance;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of the product may decrease significantly or the product could become less competitive and our reputation may suffer.</w:t>
      </w:r>
    </w:p>
    <w:p>
      <w:pPr>
        <w:spacing w:after="0" w:line="23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not be able to submit INDs to commence clinical trials on the timelines we expect, and even if we are able to, the FDA may not permit us to proceed.</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may not be able to submit INDs for our existing and future product candidates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195"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4"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In the United States, we are not permitted to market our product candidates until we receive marketing approval from the FDA. The process of obtaining marketing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marketing approval is never guaranteed. Neither we, nor any future collaborator, is permitted to market any of our product candidates in the United States until we receive marketing approval from the FDA.</w:t>
      </w:r>
    </w:p>
    <w:p>
      <w:pPr>
        <w:spacing w:after="0" w:line="16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75" w:lineRule="exact"/>
        <w:rPr>
          <w:sz w:val="20"/>
          <w:szCs w:val="20"/>
          <w:color w:val="auto"/>
        </w:rPr>
      </w:pPr>
    </w:p>
    <w:p>
      <w:pPr>
        <w:ind w:left="1420" w:hanging="319"/>
        <w:spacing w:after="0"/>
        <w:tabs>
          <w:tab w:leader="none" w:pos="1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authorities may disagree with the design or implementation of our, or our any of our potential future collaborators’ clinical trials;</w:t>
      </w:r>
    </w:p>
    <w:p>
      <w:pPr>
        <w:spacing w:after="0" w:line="275" w:lineRule="exact"/>
        <w:rPr>
          <w:rFonts w:ascii="Arial" w:cs="Arial" w:eastAsia="Arial" w:hAnsi="Arial"/>
          <w:sz w:val="16"/>
          <w:szCs w:val="16"/>
          <w:color w:val="auto"/>
        </w:rPr>
      </w:pPr>
    </w:p>
    <w:p>
      <w:pPr>
        <w:ind w:left="1420" w:right="12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marketing approval;</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of our potential future collaborators may be unable to demonstrate that a product candidate is safe and effective, and that product candidate’s clinical and other benefits outweigh its safety risks;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an NDA or other submission or to obtain marketing approval in the United States or elsewhere, and such authorities may impose requirements for additional preclinical studies or clinical trials;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require additional information, data, qualification, or validation of our manufacturing and testing processes as part of the chemistry, manufacturing, and controls information we submit as part of our application;</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Any delays in the marketing approval of our product candidates may negatively impact our ability to successfully position the product candidate in the market or the product candidate may face additional competition from other products.</w:t>
      </w:r>
    </w:p>
    <w:p>
      <w:pPr>
        <w:spacing w:after="0" w:line="170"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With respect to foreign markets, marketing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or comparable foreign regulatory authorities in reviewing new drugs based on safety, efficacy or other regulatory considerations and may result in significant delays in obtaining marketing approvals. Any delay in obtaining, or inability to obtain, applicable marketing approvals would prevent us or any of our potential future collaborators from commercializing our product candidates.</w:t>
      </w:r>
    </w:p>
    <w:p>
      <w:pPr>
        <w:spacing w:after="0" w:line="192"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b w:val="1"/>
          <w:bCs w:val="1"/>
          <w:i w:val="1"/>
          <w:iCs w:val="1"/>
          <w:color w:val="auto"/>
        </w:rPr>
        <w:t>We are required by the FDA (or comparable regulatory authority) to obtain approval or clearance of a companion diagnostic test in connection with approval of any of our product candidates. If we do not obtain or we face delays in obtaining approval of a diagnostic test, we may not be able to commercialize the product candidate and our ability to generate revenue will be materially impaired.</w:t>
      </w:r>
    </w:p>
    <w:p>
      <w:pPr>
        <w:spacing w:after="0" w:line="16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If we are required by the FDA or comparable foreign regulatory authorities to obtain approval or clearance of a companion diagnostic test in connection with marketing approval of any of our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such companion diagnostic test would be used during our more advanced phase clinical trials as well as in connection with the commercialization of our product candidates. We will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or clearance for these companion diagnostics. To be successful in developing and commercializing product candidates in combination with these companion diagnostics, we and our future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these companion diagnostics, which we expect will require separate regulatory clearance or approval prior to commercialization.</w:t>
      </w:r>
    </w:p>
    <w:p>
      <w:pPr>
        <w:spacing w:after="0" w:line="179"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The approval or clearance of a companion diagnostic as part of the therapeutic product’s labeling limits the use of the therapeutic product to only those patients who express certain biomarkers or the specific genomic alteration that the companion diagnostic was developed to detect. If the FDA or comparable foreign regulatory authorities require approval or clearance of a companion diagnostic for any of our product candidates, whether before or concurrently with marketing approval of the product candidate, we and/or our collaborators, may encounter difficulties in developing and obtaining approval or clearance for these companion diagnostics. Any delay or failure by us or potential future collaborators to develop or obtain regulatory approval or clearance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any companion diagnostic strategy we undertake. This guidance and future issuances from the FDA or comparable foreign regulatory authorities may impact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partnered companion diagnostic development plans we undertake or we may not be able to compete effectively upon marketing approval, which could adversely impact our ability to generate revenue from the sale of our approved products and our business operations.</w:t>
      </w:r>
    </w:p>
    <w:p>
      <w:pPr>
        <w:spacing w:after="0" w:line="17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or clearance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commercially reasonable terms, which could adversely affect and/or delay the development or commercialization of our product candidates.</w:t>
      </w:r>
    </w:p>
    <w:p>
      <w:pPr>
        <w:spacing w:after="0" w:line="23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development programs and specific indications. As a result, we may forgo or delay pursuit of opportunities with other product candidates that could have had greater commercial potential. Our resource allocation decisions may cause us to fail to capitalize on viable potential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16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designations for any of our product candidates, and we may be unable to maintain the benefits associated with orphan drug designation, including the potential for market exclusivity.</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or biologics for relatively small patient populations as orphan drugs.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European Union, the European Medicines Agency’s, or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We have not received orphan drug designation in the United States for any product candidate. We may seek orphan drug designation in the United States and the European Union for TYRA-300 for patients with MIBC and other rare tumors susceptible to an FGFR3 therapy, and similar designations for our other product candidates in qualified patient populations. There can be no assurance that the FDA or the EMA’s Committee for Orphan Medicinal Products will grant orphan designation for any indication for which we apply, or that we will be able to maintain such designation.</w:t>
      </w:r>
    </w:p>
    <w:p>
      <w:pPr>
        <w:spacing w:after="0" w:line="172"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to market the same product for the same indication for seven years, except in limited circumstances, such as a showing of clinical superiority to the product with orphan drug exclusivity or where the manufacturer is unable to assure sufficient product quantity. The applicable exclusivity period is ten years in Europe, but such exclusivity period can be reduced to six years if a product no longer meets the criteria for orphan designation or if the product is sufficiently profitable that market exclusivity is no longer justified.</w:t>
      </w:r>
    </w:p>
    <w:p>
      <w:pPr>
        <w:spacing w:after="0" w:line="17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condition. Even after an orphan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drug is approved, the FDA or comparable foreign regulatory authorities can subsequently approve the same drug for the same condition if such regulatory authority concludes that the later drug is clinically superior because it is shown to be safer, more effective or makes a major contribution to patient care. Orphan drug exclusivity may also be lost if the FDA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192"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If we successfully develop our product candidates, 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3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We may seek Breakthrough Therapy or Fast Track designation for some of our product candidates. A Breakthrough Therapy is defined as a drug or biologic that is intended, alone or in combination with one or more other drugs or biologics,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78"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Drugs or biologics designated as Breakthrough Therapies by the FDA may also be eligible for expedited review and approval. If a product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obtain Fast Track Designation for one or more of our product candidates, we may not experience a faster development process, review or approval compared to non-expedited FDA review procedures. In addition, the FDA may withdraw Fast Track Designation if it believes that the designation is no longer supported. Fast Track Designation alone does not guarantee qualification for the FDA’s priority review procedures.</w:t>
      </w:r>
    </w:p>
    <w:p>
      <w:pPr>
        <w:spacing w:after="0" w:line="166"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for either of these designations, the FDA may later decide that the product candidate no longer meet the conditions for qualification.</w:t>
      </w:r>
    </w:p>
    <w:p>
      <w:pPr>
        <w:spacing w:after="0" w:line="192" w:lineRule="exact"/>
        <w:rPr>
          <w:sz w:val="20"/>
          <w:szCs w:val="20"/>
          <w:color w:val="auto"/>
        </w:rPr>
      </w:pPr>
    </w:p>
    <w:p>
      <w:pPr>
        <w:ind w:left="120" w:right="120"/>
        <w:spacing w:after="0" w:line="381" w:lineRule="auto"/>
        <w:rPr>
          <w:sz w:val="20"/>
          <w:szCs w:val="20"/>
          <w:color w:val="auto"/>
        </w:rPr>
      </w:pPr>
      <w:r>
        <w:rPr>
          <w:rFonts w:ascii="Arial" w:cs="Arial" w:eastAsia="Arial" w:hAnsi="Arial"/>
          <w:sz w:val="15"/>
          <w:szCs w:val="15"/>
          <w:b w:val="1"/>
          <w:bCs w:val="1"/>
          <w:i w:val="1"/>
          <w:iCs w:val="1"/>
          <w:color w:val="auto"/>
        </w:rPr>
        <w:t>We may in the future conduct clinical trials for certain of our product candidates outside of the United States. However, the FDA and other foreign equivalents may not accept data from such trials, in which case our development plans will be delayed, which could materially harm our business.</w:t>
      </w:r>
    </w:p>
    <w:p>
      <w:pPr>
        <w:spacing w:after="0" w:line="10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may conduct one or more of our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serve as the basis for marketing approval in the United States, the FDA will not approve the application on the basis of foreign data alone unless those data are applicable to the U.S. population and U.S.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provide advance comment on the clinical protocols for the trials, and therefore there is an additional potential risk that the FDA could determine that the trial design or protocol for a non-U.S. clinical trial was inadequate, which could require us to conduct additional clinical trials. In addition, such foreign trials would be subject to the applicable local laws of the foreign regulatory and legal requirements where the trials are conducted.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86" w:lineRule="exact"/>
        <w:rPr>
          <w:sz w:val="20"/>
          <w:szCs w:val="20"/>
          <w:color w:val="auto"/>
        </w:rPr>
      </w:pPr>
    </w:p>
    <w:p>
      <w:pPr>
        <w:ind w:left="120" w:right="20"/>
        <w:spacing w:after="0" w:line="381" w:lineRule="auto"/>
        <w:rPr>
          <w:sz w:val="20"/>
          <w:szCs w:val="20"/>
          <w:color w:val="auto"/>
        </w:rPr>
      </w:pPr>
      <w:r>
        <w:rPr>
          <w:rFonts w:ascii="Arial" w:cs="Arial" w:eastAsia="Arial" w:hAnsi="Arial"/>
          <w:sz w:val="15"/>
          <w:szCs w:val="15"/>
          <w:b w:val="1"/>
          <w:bCs w:val="1"/>
          <w:i w:val="1"/>
          <w:iCs w:val="1"/>
          <w:color w:val="auto"/>
        </w:rPr>
        <w:t>Interim, topline and preliminary data from our preclinical studies and clinical trials that we may announce or publish from time to time may change as more patient data become available and are subject to audit and verification procedures that could result in material changes in the final data.</w:t>
      </w:r>
    </w:p>
    <w:p>
      <w:pPr>
        <w:spacing w:after="0" w:line="100" w:lineRule="exact"/>
        <w:rPr>
          <w:sz w:val="20"/>
          <w:szCs w:val="20"/>
          <w:color w:val="auto"/>
        </w:rPr>
      </w:pPr>
    </w:p>
    <w:p>
      <w:pPr>
        <w:ind w:left="120" w:right="40" w:firstLine="881"/>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preclinical studies and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86"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late, final or actual results, or if others, including regulatory authorities, disagree with the conclusions reached, our ability to obtain approval for, and commercialize, any of our product candidates may be harmed, which could harm our business, financial condition, results of operations and prospects.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76" w:lineRule="exact"/>
        <w:rPr>
          <w:sz w:val="20"/>
          <w:szCs w:val="20"/>
          <w:color w:val="auto"/>
        </w:rPr>
      </w:pPr>
    </w:p>
    <w:p>
      <w:pPr>
        <w:ind w:left="120" w:right="60" w:firstLine="881"/>
        <w:spacing w:after="0" w:line="268" w:lineRule="auto"/>
        <w:rPr>
          <w:sz w:val="20"/>
          <w:szCs w:val="20"/>
          <w:color w:val="auto"/>
        </w:rPr>
      </w:pPr>
      <w:r>
        <w:rPr>
          <w:rFonts w:ascii="Arial" w:cs="Arial" w:eastAsia="Arial" w:hAnsi="Arial"/>
          <w:sz w:val="17"/>
          <w:szCs w:val="17"/>
          <w:color w:val="auto"/>
        </w:rPr>
        <w:t>Where appropriate, we plan to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verify and describe the drug’s clinical benefit. If such post-approval studies fail to confirm the drug or biologic’s clinical benefit or are not completed in a timely manner, the FDA may withdraw its approval of the drug or biologic.</w:t>
      </w:r>
    </w:p>
    <w:p>
      <w:pPr>
        <w:spacing w:after="0" w:line="186"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have not yet applied for accelerated approval by the FDA. 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program,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72"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and other agencies may also slow the time necessary for new drugs and biologics or modifications to approved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Separately, in response to the COVID-19 pandemic, on March 10, 2020 the FDA announced its intention to postpone most inspections of foreign manufacturing facilities and products and subsequently, on March 18, 2020, the FDA announced its intention to temporarily postpone routine surveillance inspections of domestic manufacturing facilities. On July 10, 2020, the FDA announced its intention to resume certain on-site inspections of domestic manufacturing facilities subject to a risk-based prioritization system. And on April 14, 2021, the FDA announced guidance regarding Remote Interactive Evaluations, and how they will be requested by the FDA and conducted for the duration of the COVID-19 public health emergency at any facility where pharmaceutical products, including biological products, are manufactured, processed, packed or held; facilities covered under the FDA’s bioresearch monitoring program; and outsourcing facilities registered under FDCA section 503B. The FDA intends to use information from remote interactive evaluations to meet user-fee commitments and to update facilities information, when deemed appropriate based on risk and history of compliance with FDA regulations. Facilities can choose to decline the FDA’s request to perform a remote facility evaluation; however, this may delay the agency’s ability to evaluate the facility or product and make a regulatory decision. The FDA will not accept requests from applicants or facilities to perform a remote interactive evaluation, as decisions to offer a remote interactive evaluation will rest with the FDA, based on risk and compliance history.</w:t>
      </w:r>
    </w:p>
    <w:p>
      <w:pPr>
        <w:spacing w:after="0" w:line="179" w:lineRule="exact"/>
        <w:rPr>
          <w:sz w:val="20"/>
          <w:szCs w:val="20"/>
          <w:color w:val="auto"/>
        </w:rPr>
      </w:pPr>
    </w:p>
    <w:p>
      <w:pPr>
        <w:ind w:left="120" w:right="280" w:firstLine="881"/>
        <w:spacing w:after="0" w:line="301"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For example, we intend to change the delivery vehicle we use in our formulation for TYRA-300 from polyethylene glycol 400 to a cyclodextrin based vehicle. This change in formulation may result in effects and results that are different from those observed in our completed preclinical studies to date. Similarly, in the future we may introduce an alternative formulation of one or more of our product candidates during the course of our planned clinical trials.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product candidates and jeopardize our ability to commercialize our product candidates, if approved, and generate revenue.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84"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We do not own or operate manufacturing facilities and have no plans to develop our own clinical or commercial-scale manufacturing capabilities. We plan to rely, and expect to continue to rely, on third parties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manufacture of our product candidates and related raw materials for preclinical and clinical development, as well as for commercial manufacture if any of our product candidates receive marketing approval. The facilities used by third-party manufacturers to manufacture our product candidates must be approved by the FDA or comparable foreign regulatory authorities pursuant to inspections that will be conducted after we submit an NDA to the FDA or any comparable filing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marketing approval for their manufacturing facilities. In addition, we have no control over the ability of third-party manufacturers to maintain adequate quality control, quality assurance, qualified personnel, and accurate and complete recordkeeping. If the FDA or comparable foreign regulatory authorities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or the third-party manufacturers,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171"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could adversely affect our business in a number of ways, including:</w:t>
      </w:r>
    </w:p>
    <w:p>
      <w:pPr>
        <w:spacing w:after="0" w:line="197"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initiate clinical trials of our product candidates under development;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candidates or any other future product candidates.</w:t>
      </w:r>
    </w:p>
    <w:p>
      <w:pPr>
        <w:spacing w:after="0" w:line="170"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In addition, we do not have any long-term commitments or supply agreements with our third party manufacturers. We may be unable to establish any agreements with third-party manufacturers or to do so on acceptable terms, which increases the risk of timely obtaining sufficient quantities of our product candidates or such quantifies at an acceptable cost. Even if we are able to establish agreements with third-party manufacturers, reliance on third-party manufacturers entails additional risks, including:</w:t>
      </w:r>
    </w:p>
    <w:p>
      <w:pPr>
        <w:spacing w:after="0" w:line="214"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product candidates and any products that receive marketing approval may compete with the product candidates and products of other companies for access to manufacturing facilities. There are a limited number of manufacturers that operate under cGMP regulations and that might be capable of manufacturing for us. Public health emergencies, such as that declared for COVID-19, might cause third-party manufacturers with whom we contract to prioritize the production of other products, possibly at the direction of the United States. or other government. This could lead to a delay in the manufacture of our product candidates or any products that receive marketing approval, and negatively impact the supply of such product candidates or products for clinical trials or commercialization.</w:t>
      </w:r>
    </w:p>
    <w:p>
      <w:pPr>
        <w:spacing w:after="0" w:line="19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185"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2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confidential information, which increases the possibility that confidential information will be misappropriated or disclosed.</w:t>
      </w:r>
    </w:p>
    <w:p>
      <w:pPr>
        <w:spacing w:after="0" w:line="170"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Because we currently plan to rely on third parties to manufacture our product candidates and to perform quality testing, we must, at times, share our proprietary technology and confidential information with them. We seek to protect our proprietary technology, in part, by entering into confidentiality agreements, and, if applicable, material transfer agreements, collaborative research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confidential information and despite our efforts to protect our confidential information,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66"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92"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some of our preclinical studies and will rely on third parties to conduct our clinical trials.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4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are dependent on third parties to conduct some of our preclinical studies and expect to rely on such third parties for our clinical trials, including our planned Phase 1/2 clinical trial of TYRA-300. Specifically, we have used and relied on, or intend to use and rely on, medical institutions, clinical investigators, CROs, contract development and manufacturing organizations, and consultants to conduct some of our preclinical studies and to conduct planned clinical trials in accordance with our clinical protocols and regulatory requirements. These CROs, investigators and other third parties play a significant role in the conduct and timing of these preclinical studies and clinical trials and subsequent collection and analysis of data. While we have and will have agreements governing the activities of our CROs, investigators and other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GLP and GCP requirements, which are regulations and guidelines enforced by the FDA or comparable foreign regulatory authorities for all of our product candidates in preclinical and clinical development. Regulatory authorities enforce these requirements through periodic inspections of trial sponsors, principal investigators, trial sites, and other third parties. If we or any of our CROs, trial sites or other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third parties fail to comply with applicable GLP or GCP or other requirements, the clinical data generated in our clinical trials may be deemed unreliable, and the FDA or comparable foreign regulatory authorities may require us to perform additional preclinical studies or clinical trials before approving our marketing applications. In addition, our clinical trials must be conducted with products produced under cGMP regulations. Our failure to comply with these regulations may require us to repeat clinical trials, which would delay the marketing approval process.</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There is no guarantee that any of our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may also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spacing w:after="0" w:line="18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investigator or other third party contractor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b w:val="1"/>
          <w:bCs w:val="1"/>
          <w:i w:val="1"/>
          <w:iCs w:val="1"/>
          <w:color w:val="auto"/>
        </w:rPr>
        <w:t>Even if we receive marketing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57"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Following potential approval of any our product candidates, the FDA may impose significant restrictions on a product’s indicated uses or marketing or impose ongoing requirements for potentially costly and time consuming post-approval studies, post-market surveillance or clinical trials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advertising, promotion, import, export recordkeeping, and other activities relating to our products will be subject to extensive and ongoing regulatory requirements. These requirements include submissions of safety and other post-marketing information and reports, registration, as well as continued compliance with cGMP and GCP requirements for any clinical trials that we conduct post- approval. Manufacturers of approved products and their facilities are subject to continual review and periodic, unannounced inspections by the FDA and other regulatory authorities for compliance with cGMP regulations and standards. Later discovery of previously unknown problems with our products, including additional adverse events or adverse events of unanticipated severity or frequency, or with our third-party manufacturers or manufacturing processes, or failure to comply with regulatory requirements, may result in, among other things:</w:t>
      </w:r>
    </w:p>
    <w:p>
      <w:pPr>
        <w:spacing w:after="0" w:line="204"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our products, withdrawal of the product from the market or product recalls;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fines, restitutions, disgorgement of profits or revenues, civil money penalties, warning letters, untitled letters or holds on clinical trials;</w:t>
      </w:r>
    </w:p>
    <w:p>
      <w:pPr>
        <w:spacing w:after="0" w:line="275" w:lineRule="exact"/>
        <w:rPr>
          <w:rFonts w:ascii="Arial" w:cs="Arial" w:eastAsia="Arial" w:hAnsi="Arial"/>
          <w:sz w:val="16"/>
          <w:szCs w:val="16"/>
          <w:color w:val="auto"/>
        </w:rPr>
      </w:pPr>
    </w:p>
    <w:p>
      <w:pPr>
        <w:ind w:left="1420" w:right="18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500" w:firstLine="881"/>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46"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addition, if any of our product candidates are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in their independent medical judgment, prescribe it to their patients in a manner that is inconsistent with the approved label. The FDA does not regulate the behavior of physicians in their choice of treatments but the FDA does restrict manufacturer’s communications on the subject of off-label use of their products. If we are found to have promoted such off-label uses, we may become subject to significant liability. The FDA, the Department of Justice, and other governmental authorities actively enforce the laws and regulations prohibiting the promotion of off-label uses, and a company that is found to have improperly promoted off-label uses may be subject to significant sanctions. For example, the federal government has levied large civil and criminal fines against companies for alleged improper promotion and has enjoined several companies from engaging in off-label promotion. The FDA has also requested that companies enter into corporate integrity agreements, consent decrees or permanent injunctions under which specified promotional conduct is changed or curtailed.</w:t>
      </w:r>
    </w:p>
    <w:p>
      <w:pPr>
        <w:spacing w:after="0" w:line="182"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78"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70"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color w:val="auto"/>
        </w:rPr>
        <w:t>Our product candidates may not be commercially successful. Even if any of our product candidates receive marketing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198"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indications for which our product candidates are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252"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or any of our current or potential future collaborators’ sales and marketing strategies;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25" w:lineRule="exact"/>
        <w:rPr>
          <w:sz w:val="20"/>
          <w:szCs w:val="20"/>
          <w:color w:val="auto"/>
        </w:rPr>
      </w:pPr>
    </w:p>
    <w:p>
      <w:pPr>
        <w:ind w:left="120" w:right="340" w:firstLine="881"/>
        <w:spacing w:after="0" w:line="311" w:lineRule="auto"/>
        <w:rPr>
          <w:sz w:val="20"/>
          <w:szCs w:val="20"/>
          <w:color w:val="auto"/>
        </w:rPr>
      </w:pPr>
      <w:r>
        <w:rPr>
          <w:rFonts w:ascii="Arial" w:cs="Arial" w:eastAsia="Arial" w:hAnsi="Arial"/>
          <w:sz w:val="16"/>
          <w:szCs w:val="16"/>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4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65"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marketing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71"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4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Moreover, we are initially developing TYRA-300 for the treatment of MIBC, an indication with a small patient population. In order for products that are designed to treat smaller patient populations to be commercially viable, the reimbursement for such products must be higher, on a relative basis, to account for the lack of volume. Accordingly, we will need to implement a coverage and reimbursement strategy for any approved product candidate with a smaller patient population that accounts for the smaller potential market size.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80"/>
        <w:spacing w:after="0" w:line="277" w:lineRule="auto"/>
        <w:rPr>
          <w:sz w:val="20"/>
          <w:szCs w:val="20"/>
          <w:color w:val="auto"/>
        </w:rPr>
      </w:pPr>
      <w:r>
        <w:rPr>
          <w:rFonts w:ascii="Arial" w:cs="Arial" w:eastAsia="Arial" w:hAnsi="Arial"/>
          <w:sz w:val="18"/>
          <w:szCs w:val="18"/>
          <w:color w:val="auto"/>
        </w:rPr>
        <w:t>and reimbursement in the United States, the European Union or elsewhere will be available for any product that we may develop, and any reimbursement that may become available may be decreased or eliminated in the future.</w:t>
      </w:r>
    </w:p>
    <w:p>
      <w:pPr>
        <w:spacing w:after="0" w:line="170"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6"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once approved. In addition, in the event that we or third parties develop companion diagnostic tests for use with our products, once approved, such companion diagnostic tests will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spacing w:after="0" w:line="172"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once approved.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once approved, may be reduced compared with the United States and may be insufficient to generate commercially reasonable revenue and profits.</w:t>
      </w:r>
    </w:p>
    <w:p>
      <w:pPr>
        <w:spacing w:after="0" w:line="17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once approved.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24"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or product candidates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particular, there is intense competition in the precision oncology field. Our competitors include larger and better-funded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 stage companies may also prove to be significant competitors, particularly through collaborative arrangements with large and established companies.</w:t>
      </w:r>
    </w:p>
    <w:p>
      <w:pPr>
        <w:spacing w:after="0" w:line="179"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We expect to face competition from existing products and products in development for each of our product candidates. There are three currently approved pan-FGFR inhibitors: Incyte Corporation’s Pemazyre (pemigatinib) and QED Therapeutics’ TRUSELTIQ</w:t>
      </w:r>
      <w:r>
        <w:rPr>
          <w:rFonts w:ascii="Arial" w:cs="Arial" w:eastAsia="Arial" w:hAnsi="Arial"/>
          <w:sz w:val="13"/>
          <w:szCs w:val="13"/>
          <w:color w:val="auto"/>
        </w:rPr>
        <w:t>®</w:t>
      </w:r>
      <w:r>
        <w:rPr>
          <w:rFonts w:ascii="Arial" w:cs="Arial" w:eastAsia="Arial" w:hAnsi="Arial"/>
          <w:sz w:val="16"/>
          <w:szCs w:val="16"/>
          <w:color w:val="auto"/>
        </w:rPr>
        <w:t xml:space="preserve"> (infigratinib), approved in FGFR2 gene rearrangements in cholangiocarcinoma, and Janssen Biotech, Inc.’s Balversa (erdafitinib), approved in specific FGFR3 and FGFR2 gene alterations. There are a number of other pan-FGFR programs in development for FGFR2 and FGFR3-specific populations, including, among others, Taiho Oncology, Inc.’s TAS120 (futibatinib), Bayer Pharmaceutical’s BAY 1163877 (Rogaratinib), as well as isoform specific FGFR inhibitors such as Relay Therapeutics, Inc.’s RLY-4008 and Kinnate Biopharma Inc.’s KN3248. There are two approved RET inhibitors, Lilly’s Loxo Oncology’s Retevmo</w:t>
      </w:r>
      <w:r>
        <w:rPr>
          <w:rFonts w:ascii="Arial" w:cs="Arial" w:eastAsia="Arial" w:hAnsi="Arial"/>
          <w:sz w:val="13"/>
          <w:szCs w:val="13"/>
          <w:color w:val="auto"/>
        </w:rPr>
        <w:t>™</w:t>
      </w:r>
      <w:r>
        <w:rPr>
          <w:rFonts w:ascii="Arial" w:cs="Arial" w:eastAsia="Arial" w:hAnsi="Arial"/>
          <w:sz w:val="16"/>
          <w:szCs w:val="16"/>
          <w:color w:val="auto"/>
        </w:rPr>
        <w:t xml:space="preserve"> (selpercatinib) and Blueprint Medicines’ GAVRETO</w:t>
      </w:r>
      <w:r>
        <w:rPr>
          <w:rFonts w:ascii="Arial" w:cs="Arial" w:eastAsia="Arial" w:hAnsi="Arial"/>
          <w:sz w:val="13"/>
          <w:szCs w:val="13"/>
          <w:color w:val="auto"/>
        </w:rPr>
        <w:t>™</w:t>
      </w:r>
      <w:r>
        <w:rPr>
          <w:rFonts w:ascii="Arial" w:cs="Arial" w:eastAsia="Arial" w:hAnsi="Arial"/>
          <w:sz w:val="16"/>
          <w:szCs w:val="16"/>
          <w:color w:val="auto"/>
        </w:rPr>
        <w:t xml:space="preserve"> (pralsetinib), as well as programs in development such as Turning Point’s TPX-0046 and Boston Pharmaceuticals’ BOS172738. There are currently no approved FGFR4 inhibitors, but there are a number of FGFR4 programs in clinical development, including Blueprint Medicines’ BLU-554 (fisogatinib), H3 Biomedicines’ H3B-6527 and Novartis’ FGF401.</w:t>
      </w:r>
    </w:p>
    <w:p>
      <w:pPr>
        <w:spacing w:after="0" w:line="166"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marketing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8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revenue may be adversely affected, and our business may suffer.</w:t>
      </w:r>
    </w:p>
    <w:p>
      <w:pPr>
        <w:spacing w:after="0" w:line="170"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precise incidence and prevalence for all the conditions we aim to address with our product candidates are unknown. Our projections of both the number of people who have these diseases, as well as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The total addressable market across all of our product candidates will ultimately depend upon, among other things, the diagnosis criteria included in the final label for each of our product candidates which receives marketing approval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18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We are not permitted to market or promote any of our product candidates before we receive marketing approval from applicable regulatory authorities in foreign markets, and we may never receive such marketing approvals for any of our product candidates. To obtain separate marketing approval in many other countries we must comply with numerous and varying regulatory requirements regarding safety and efficacy and governing, among other things, clinical trials, commercial sales, pricing and distribution of our product candidates. If we obtain marketing approval of our product candidates and ultimately commercialize our products in foreign markets, we would be subject to additional risks and uncertainties, including:</w:t>
      </w:r>
    </w:p>
    <w:p>
      <w:pPr>
        <w:spacing w:after="0" w:line="205"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52"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420" w:right="56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marketing approval and commercialization activities relating to our product candidates, which may change from time to time;</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97"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third-party manufacturers;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52" w:lineRule="exact"/>
        <w:rPr>
          <w:rFonts w:ascii="Arial" w:cs="Arial" w:eastAsia="Arial" w:hAnsi="Arial"/>
          <w:sz w:val="18"/>
          <w:szCs w:val="18"/>
          <w:color w:val="auto"/>
        </w:rPr>
      </w:pPr>
    </w:p>
    <w:p>
      <w:pPr>
        <w:ind w:left="1420" w:right="40" w:hanging="319"/>
        <w:spacing w:after="0" w:line="342" w:lineRule="auto"/>
        <w:tabs>
          <w:tab w:leader="none" w:pos="1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Our success depends in part on our continued ability to attract, retain, manage and motivate highly qualified management, clinical and scientific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4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San Diego County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7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have recently substantially increased, and will need to continue to grow, the size and capabilities of our organization, and we may experience difficulties in managing this growth.</w:t>
      </w:r>
    </w:p>
    <w:p>
      <w:pPr>
        <w:spacing w:after="0" w:line="170"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have substantially increased our organization from four employees as of December 31, 2019 to 15 full-time employees as of June 30, 2021, including 13 employees engaged in research and development. In order to successfully implement our development and commercialization plans and strategies, and as we transition into operating as a public company, we expect to need to continue to add significant additional managerial, operational, sales, marketing, financial and other personnel. Future growth will impose significant added responsibilities on members of management, including:</w:t>
      </w:r>
    </w:p>
    <w:p>
      <w:pPr>
        <w:spacing w:after="0" w:line="215"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recruiting, integrating, maintaining, retaining and motivating our current and additional employees;</w:t>
      </w:r>
    </w:p>
    <w:p>
      <w:pPr>
        <w:spacing w:after="0" w:line="252" w:lineRule="exact"/>
        <w:rPr>
          <w:rFonts w:ascii="Arial" w:cs="Arial" w:eastAsia="Arial" w:hAnsi="Arial"/>
          <w:sz w:val="18"/>
          <w:szCs w:val="18"/>
          <w:color w:val="auto"/>
        </w:rPr>
      </w:pPr>
    </w:p>
    <w:p>
      <w:pPr>
        <w:ind w:left="1420" w:right="240" w:hanging="319"/>
        <w:spacing w:after="0" w:line="263"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preclinical, clinical, the FDA or comparable foreign regulatory authorities’ review process for product candidates, while complying with any contractual obligations to contractors and other third parties;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product candidates developed from our FGFR and RET programs and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TYRA-300 and any of our other product candidates and, accordingly, may not achieve our research, development and commercialization goals.</w:t>
      </w:r>
    </w:p>
    <w:p>
      <w:pPr>
        <w:spacing w:after="0" w:line="184"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We are subject to various federal, state and foreign healthcare laws and regulations, which could increase compliance costs, and our failure to comply with these laws and regulations could harm our results of operations and financial condition.</w:t>
      </w:r>
    </w:p>
    <w:p>
      <w:pPr>
        <w:spacing w:after="0" w:line="146"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laws and regulations. These laws may constrain the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or financial arrangements and relationships through which we conduct our operations, including how we research, market, sell and distribute any products for which we obtain marketing approval. Such laws include, without limitation:</w:t>
      </w:r>
    </w:p>
    <w:p>
      <w:pPr>
        <w:spacing w:after="0" w:line="197" w:lineRule="exact"/>
        <w:rPr>
          <w:sz w:val="20"/>
          <w:szCs w:val="20"/>
          <w:color w:val="auto"/>
        </w:rPr>
      </w:pPr>
    </w:p>
    <w:p>
      <w:pPr>
        <w:ind w:left="1420" w:right="40" w:hanging="319"/>
        <w:spacing w:after="0" w:line="293" w:lineRule="auto"/>
        <w:tabs>
          <w:tab w:leader="none" w:pos="1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Anti-Kickback Statute, which is a criminal law that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spacing w:after="0" w:line="191" w:lineRule="exact"/>
        <w:rPr>
          <w:rFonts w:ascii="Arial" w:cs="Arial" w:eastAsia="Arial" w:hAnsi="Arial"/>
          <w:sz w:val="16"/>
          <w:szCs w:val="16"/>
          <w:color w:val="auto"/>
        </w:rPr>
      </w:pPr>
    </w:p>
    <w:p>
      <w:pPr>
        <w:ind w:left="1420" w:right="20" w:hanging="319"/>
        <w:spacing w:after="0" w:line="254"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221" w:lineRule="exact"/>
        <w:rPr>
          <w:rFonts w:ascii="Arial" w:cs="Arial" w:eastAsia="Arial" w:hAnsi="Arial"/>
          <w:sz w:val="18"/>
          <w:szCs w:val="18"/>
          <w:color w:val="auto"/>
        </w:rPr>
      </w:pPr>
    </w:p>
    <w:p>
      <w:pPr>
        <w:ind w:left="1420" w:right="40" w:hanging="319"/>
        <w:spacing w:after="0" w:line="255"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19" w:lineRule="exact"/>
        <w:rPr>
          <w:rFonts w:ascii="Arial" w:cs="Arial" w:eastAsia="Arial" w:hAnsi="Arial"/>
          <w:sz w:val="18"/>
          <w:szCs w:val="18"/>
          <w:color w:val="auto"/>
        </w:rPr>
      </w:pPr>
    </w:p>
    <w:p>
      <w:pPr>
        <w:ind w:left="1420" w:hanging="319"/>
        <w:spacing w:after="0" w:line="290" w:lineRule="auto"/>
        <w:tabs>
          <w:tab w:leader="none" w:pos="1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payments and other “transfers of value” made to physicians (defined to include doctors, dentists, optometrists, podiatrists and chiropractors) and teaching hospitals, as well as ownership and investment interests held by such healthcare professionals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anesthesiology assistants and certified nurse-midwives; and</w:t>
      </w:r>
    </w:p>
    <w:p>
      <w:pPr>
        <w:spacing w:after="0" w:line="192" w:lineRule="exact"/>
        <w:rPr>
          <w:rFonts w:ascii="Arial" w:cs="Arial" w:eastAsia="Arial" w:hAnsi="Arial"/>
          <w:sz w:val="16"/>
          <w:szCs w:val="16"/>
          <w:color w:val="auto"/>
        </w:rPr>
      </w:pPr>
    </w:p>
    <w:p>
      <w:pPr>
        <w:ind w:left="1420" w:right="20" w:hanging="319"/>
        <w:spacing w:after="0" w:line="291" w:lineRule="auto"/>
        <w:tabs>
          <w:tab w:leader="none" w:pos="1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biopharmaceutical and biotechnology companies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and biotechnology companies to report information on the pricing of certain drug products; and some state and local laws require the registration or pharmaceutical sales representatives.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certain arrangements with physicians who receive stock or stock options as compensation for services provided to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p>
    <w:p>
      <w:pPr>
        <w:spacing w:after="0" w:line="17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We, our future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We are subject to laws and regulations governing the privacy and security of sensitive information, including confidential business and patient health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w:t>
      </w:r>
    </w:p>
    <w:p>
      <w:pPr>
        <w:spacing w:after="0" w:line="188"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FTC, failing to take appropriate steps to keep consumers’ personal information secure may constitute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0"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are more stringent than HIPAA and many of which differ from each other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significant ways and may not have the same effect, thus complicating compliance efforts. By way of example, the California Consumer Privacy Act, or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Further, in November 2020, California voters approved the California Privacy Rights Act, or CPRA, through a ballot measure. The CPRA will amend the CCPA, giving California residents additional control over their personal information and imposing further obligations on businesses processing the personal information of California residents. The CPRA includes the creation of a privacy-specific enforcement agency, the first of its kind in any U.S. state, which will be responsible for enforcing the new law. The CPRA takes effect on January 1, 2023. More recently, Virginia adopted a generally applicable privacy law, and other states are considering similar steps.</w:t>
      </w:r>
    </w:p>
    <w:p>
      <w:pPr>
        <w:spacing w:after="0" w:line="166"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These laws subject us to increased regulatory scrutiny, litigation, and overall risk. State laws are changing rapidly and there is discussion in Congress of a new federal data protection and privacy law to which we would become subject, if it is enacted. Without an overarching federal law driving privacy compliance in the United States, however, the risk is high of a patchwork of privacy legislation formed by individual state laws, similar to the patchwork created by differing state data breach notification obligations. Requirements to comply with varying state laws not only increase costs for compliance, but also create the potential for enforcement by individual state attorneys general.</w:t>
      </w:r>
    </w:p>
    <w:p>
      <w:pPr>
        <w:spacing w:after="0" w:line="17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the European Union, in May 2018, a new privacy regime, the General Data Protection Regulation, or GDPR, took effect in the European Economic Area, the EEA. The GDPR governs the collection, use, disclosure, transfer or other processing of personal data of European persons. The GDPR introduced new requirements for the protection of personal data subject to GDPR and provides for substantial fines for non-compliance, including fines up to the greater of EUR 20 million or 4% of a company’s annual global revenues.</w:t>
      </w:r>
    </w:p>
    <w:p>
      <w:pPr>
        <w:spacing w:after="0" w:line="187"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The withdrawal of the UK from the EU further complicated European compliance obligations, as we must also comply with data privacy and security laws in effect in the UK that are substantially similar to the GDPR.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7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70"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5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the ACA, was enacted in the United States.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32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entities eligible for discounts under the 340B drug pricing program;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w:t>
      </w:r>
    </w:p>
    <w:p>
      <w:pPr>
        <w:spacing w:after="0" w:line="188"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There remain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healthcare reform measures of the Biden administration and other efforts, if any, to repeal and replace the ACA will impact the ACA or our business.</w:t>
      </w:r>
    </w:p>
    <w:p>
      <w:pPr>
        <w:spacing w:after="0" w:line="178"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Most recently, in March 2021, Congress enacted the American Rescue Plan Act of 2021,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into 2031, with the exception of a temporary suspension from May 1, 2020 through December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66"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Although a number of these and other measures may require additional authorization to become effective, Congress and the current U.S. administration have each indicated that it will continue to seek new legislative and/or administrative measures to control drug costs.</w:t>
      </w:r>
    </w:p>
    <w:p>
      <w:pPr>
        <w:spacing w:after="0" w:line="19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881"/>
        <w:spacing w:after="0" w:line="296" w:lineRule="auto"/>
        <w:rPr>
          <w:sz w:val="20"/>
          <w:szCs w:val="20"/>
          <w:color w:val="auto"/>
        </w:rPr>
      </w:pPr>
      <w:r>
        <w:rPr>
          <w:rFonts w:ascii="Arial" w:cs="Arial" w:eastAsia="Arial" w:hAnsi="Arial"/>
          <w:sz w:val="16"/>
          <w:szCs w:val="16"/>
          <w:color w:val="auto"/>
        </w:rPr>
        <w:t>We expect that the ACA,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6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and any of our third-party suppliers and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marketing approvals could be suspended.</w:t>
      </w:r>
    </w:p>
    <w:p>
      <w:pPr>
        <w:spacing w:after="0" w:line="166" w:lineRule="exact"/>
        <w:rPr>
          <w:sz w:val="20"/>
          <w:szCs w:val="20"/>
          <w:color w:val="auto"/>
        </w:rPr>
      </w:pPr>
    </w:p>
    <w:p>
      <w:pPr>
        <w:ind w:left="120" w:right="440" w:firstLine="881"/>
        <w:spacing w:after="0" w:line="259"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87"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70"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78"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 significant financial and management resources. Regardless of the merits or eventual outcome, liability claims may result in:</w:t>
      </w:r>
    </w:p>
    <w:p>
      <w:pPr>
        <w:spacing w:after="0" w:line="252"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our management’s time and our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currently do not hold product liability insurance coverage, but will need to obtain this insurance coverage prior to commencing clinical trials of our product candidates. We may need to increase our insurance coverage as we initiate additional clinical trials or if we commence commercialization of our product candidates, if ever.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expect to obtain and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will leave us exposed to significant uninsured liabilities.</w:t>
      </w:r>
    </w:p>
    <w:p>
      <w:pPr>
        <w:spacing w:after="0" w:line="260"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We do not carry insurance for all categories of risk that our business may encounter, including product liability insurance. Some of the policies we currently maintain include property, general liability, employment benefits liability, business automobile workers’ compensation,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We and any of our potential future collaborators will be required to report to regulatory authorities if any of our product candidates or approved products in clinical trials cause or contribute to certain adverse medical events, and any failure to do so would result in sanctions that would materially harm our business.</w:t>
      </w:r>
    </w:p>
    <w:p>
      <w:pPr>
        <w:spacing w:after="0" w:line="18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FDA or comparable foreign regulatory authorities would require that we and potential future collaborators report certain information about adverse medical events relating to any product that is approved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product candidate in clinical trials.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comparable foreign regulatory authority could take action, including criminal prosecution, the imposition of civil monetary penalties, seizure of our products or delay in approval or clearance of future products.</w:t>
      </w:r>
    </w:p>
    <w:p>
      <w:pPr>
        <w:spacing w:after="0" w:line="18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Our internal computer systems, or those of any of our CROs, other contractors or consultants or potential future collaborators, may fail or suffer security breaches, which could result in a material disruption of our product development programs, harm our reputation, significant fines, penalties and liability and loss of customers or sales.</w:t>
      </w:r>
    </w:p>
    <w:p>
      <w:pPr>
        <w:spacing w:after="0" w:line="184"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The United States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collection, use, and dissemination of such data. In the ordinary course of business, we collect, store, transmit and otherwise process large amounts of data including, without limitation, proprietary business information and personal information. Despite the implementation of security measures, our internal technology systems (including infrastructure) and those of our current and any future CROs and other contractors, consultants and collaborators are vulnerable to damage from computer viruses, cybersecurity threats (such as denial-of-service attacks, cyber-attacks or cyber-intrusions over the Internet, hacking, phishing and other social engineering attacks), unauthorized access or use,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 or physical facilities in order to gain access to our data.</w:t>
      </w:r>
    </w:p>
    <w:p>
      <w:pPr>
        <w:spacing w:after="0" w:line="17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If a security breach were to occur and cause interruptions in our operations or result in the unauthorized disclosure of or access to personally identifiable information or individually identifiable health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Also, due to the COVID-19 pandemic, all of our employees are working remotely. As a result, we may have increased cyber security and data security risks, due to increased use of home wi-fi networks and virtual private networks, as well as increased disbursement of physical machines. While we implement IT controls to reduce the risk of a cyber security or data security breach, there is no guarantee that these measures will be adequate to safeguard all systems, especially with an increased number of employees working remotely.</w:t>
      </w:r>
    </w:p>
    <w:p>
      <w:pPr>
        <w:spacing w:after="0" w:line="166"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Any security breach or other incident, whether real or perceived, could impact our reputation, impact the integrity of our data, cause us to incur significant costs, including legal expenses, harm customer confidence, hurt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expansion into new markets, cause us to incur remediation costs, or cause us to lose existing customers. For example, the loss of clinical trial data from clinical trials could result in delays in our marketing approval efforts and significantly increase our costs to recover or reproduce the data. We also rely on third parties to manufacture our product candidates, and similar events relating to their computer systems could also have a material adverse effect on our business. To the extent that any real or perceived disruption or security breach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data or applications, or inappropriate disclosure of confidential or proprietary information, we could incur liability, the further development and commercialization of our product candidates could be delayed, and we could be subject to significant fines, penalties or liabilities for any noncompliance to certain privacy and security laws.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risks arising from COVID-19 and other epidemic diseases.</w:t>
      </w:r>
    </w:p>
    <w:p>
      <w:pPr>
        <w:spacing w:after="0" w:line="225" w:lineRule="exact"/>
        <w:rPr>
          <w:sz w:val="20"/>
          <w:szCs w:val="20"/>
          <w:color w:val="auto"/>
        </w:rPr>
      </w:pPr>
    </w:p>
    <w:p>
      <w:pPr>
        <w:ind w:left="120" w:right="20" w:firstLine="881"/>
        <w:spacing w:after="0" w:line="283" w:lineRule="auto"/>
        <w:rPr>
          <w:sz w:val="20"/>
          <w:szCs w:val="20"/>
          <w:color w:val="auto"/>
        </w:rPr>
      </w:pPr>
      <w:r>
        <w:rPr>
          <w:rFonts w:ascii="Arial" w:cs="Arial" w:eastAsia="Arial" w:hAnsi="Arial"/>
          <w:sz w:val="16"/>
          <w:szCs w:val="16"/>
          <w:color w:val="auto"/>
        </w:rPr>
        <w:t>The COVID-19 worldwide pandemic has presented substantial public health and economic challenges and is affecting our employees, patients, physicians and other healthcare providers, communities and business operations, as well as the U.S. and global economies and financial markets. A pandemic, including COVID-19, or other public health epidemic, poses the risk that we or our employees, contractors, including our CROs, suppliers, collaborators and other partners may be prevented from conducting business activities for an indefinite period of time, including due to spread of the disease within these groups or due to shutdowns that may be requested or mandated by governmental authorities. International and U.S. governmental authorities in impacted regions are taking actions in an effort to slow the spread of COVID-19, including issuing varying forms of “stay-at-home” orders, and restricting business functions outside of one’s home. In response, we have closed our executive offices with our administrative employees continuing their work remotely and limited the number of staff in our research and development laboratories. To date we have not experienced material disruptions in our business operations. However, while it is not possible at this time to estimate the impact</w:t>
      </w:r>
    </w:p>
    <w:p>
      <w:pPr>
        <w:spacing w:after="0" w:line="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that COVID-19 could have on our business in the future, particularly as we advance our product candidates to clinical development, the continued spread of COVID-19 and the measures taken by the governmental authorities, and any future epidemic disease outbreaks, could: disrupt the supply chain and the manufacture or shipment of drug substances and finished drug products for our product candidates for use in our research, preclinical studies and clinical trials, delay, limit or prevent our employees and CROs from continuing research and development activities; impede our clinical trial initiation and recruitment and the ability of patients to continue in clinical trials, including the risk that participants enrolled in our clinical trials will contract COVID-19 or other epidemic disease while the clinical trial is ongoing, which could impact the results of the clinical trial, including by increasing the number of observed adverse events; and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The COVID-19 pandemic and any future epidemic disease could also potentially affect the business of the FDA or comparable foreign regulatory authorities, which could result in delays in meetings related to planned clinical trials. The COVID-19 pandemic and mitigation measures have had and may continue to have, and any future epidemic disease outbreak may have, an adverse impact on global economic conditions which could have an adverse effect on our business and financial condition, including impairing our ability to raise capital when needed. The extent to which the COVID-19 pandemic impacts our results will depend on future developments that are highly uncertain and cannot be predicted, including new information that may emerge concerning the severity of the virus and the actions to contain its impact.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affected by litigation, government investigations and enforcement actions.</w:t>
      </w:r>
    </w:p>
    <w:p>
      <w:pPr>
        <w:spacing w:after="0" w:line="225" w:lineRule="exact"/>
        <w:rPr>
          <w:sz w:val="20"/>
          <w:szCs w:val="20"/>
          <w:color w:val="auto"/>
        </w:rPr>
      </w:pPr>
    </w:p>
    <w:p>
      <w:pPr>
        <w:ind w:left="120" w:right="420" w:firstLine="881"/>
        <w:spacing w:after="0" w:line="311" w:lineRule="auto"/>
        <w:rPr>
          <w:sz w:val="20"/>
          <w:szCs w:val="20"/>
          <w:color w:val="auto"/>
        </w:rPr>
      </w:pPr>
      <w:r>
        <w:rPr>
          <w:rFonts w:ascii="Arial" w:cs="Arial" w:eastAsia="Arial" w:hAnsi="Arial"/>
          <w:sz w:val="16"/>
          <w:szCs w:val="16"/>
          <w:color w:val="auto"/>
        </w:rPr>
        <w:t>We operate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proceedings which may arise from conducting our business. Any determination that our operations or activities are not in compliance with existing laws or regulations could result in the imposition of fines, civil and criminal penalties, product seizure, equitable remedies, including disgorgement, injunctive relief and/or other sanctions against us, and remediation of any such findings could have an adverse effect on our business operations.</w:t>
      </w:r>
    </w:p>
    <w:p>
      <w:pPr>
        <w:spacing w:after="0" w:line="149"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color w:val="auto"/>
        </w:rPr>
        <w:t>Legal proceedings, government investigations and enforcement actions can be expensive and time consuming. An adverse outcome resulting from any such proceeding, investigations or enforcement actions could result in significant damages awards, fines, penalties, exclusion from the federal healthcare programs, healthcare or regulatory debarment, injunctive relief, product recalls, reputational damage and modifications of our business practices, which could have a material adverse effect on our business and results of operations.</w:t>
      </w:r>
    </w:p>
    <w:p>
      <w:pPr>
        <w:spacing w:after="0" w:line="17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70"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recording and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consequences or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90"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our business, financial condition and stock price.</w:t>
      </w:r>
    </w:p>
    <w:p>
      <w:pPr>
        <w:spacing w:after="0" w:line="24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global credit and financial markets have recently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225" w:lineRule="exact"/>
        <w:rPr>
          <w:sz w:val="20"/>
          <w:szCs w:val="20"/>
          <w:color w:val="auto"/>
        </w:rPr>
      </w:pPr>
    </w:p>
    <w:p>
      <w:pPr>
        <w:jc w:val="both"/>
        <w:ind w:left="120" w:right="100" w:firstLine="881"/>
        <w:spacing w:after="0" w:line="259" w:lineRule="auto"/>
        <w:rPr>
          <w:sz w:val="20"/>
          <w:szCs w:val="20"/>
          <w:color w:val="auto"/>
        </w:rPr>
      </w:pPr>
      <w:r>
        <w:rPr>
          <w:rFonts w:ascii="Arial" w:cs="Arial" w:eastAsia="Arial" w:hAnsi="Arial"/>
          <w:sz w:val="18"/>
          <w:szCs w:val="18"/>
          <w:color w:val="auto"/>
        </w:rPr>
        <w:t>On March 27, 2020, the CARES Act was signed into law to address the COVID-19 crisis. The CARES Act is an approximately $2 trillion emergency economic stimulus package that includes numerous U.S. federal income tax provisions, including the modification of: (i) net operating loss, or NOL, rules (as discussed below), (ii) the alternative minimum tax refund and (iii) business interest deduction limitations under Section 163(j) of the Internal Revenue Code of 1986, as amended, or the Code.</w:t>
      </w:r>
    </w:p>
    <w:p>
      <w:pPr>
        <w:spacing w:after="0" w:line="187"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The Tax Act also significantly changed the U.S. federal income taxation of U.S. corporations. We continue to work with our tax advisors and auditors to determine the full impact the Tax Act and the CARES Act will have on us. We urge our investors to consult with their legal and tax advisors with respect to both the Tax Act and the CARES Act and the potential tax consequences of investing in our common stock.</w:t>
      </w:r>
    </w:p>
    <w:p>
      <w:pPr>
        <w:spacing w:after="0" w:line="14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this offering or other ownership changes.</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At December 31, 2020, we had federal and state NOL carryforwards of approximately $11.7 million and $3.7 million, respectively.</w:t>
      </w:r>
    </w:p>
    <w:p>
      <w:pPr>
        <w:spacing w:after="0" w:line="187"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Under the Tax Act, federal NOL carryforwards generated in periods after December 31, 2017, may be carried forward indefinitely. Under the CARES Act, NOL carryforwards arising in tax years beginning after December 31, 2017 and before January 1, 2021 may be carried back to each of the five tax years preceding the tax year of such loss. Because we had no taxable income in our tax year ended December 31, 2020, which was our third corporate tax year, we do not anticipate that such provision of the CARES Act will be relevant to us. The deductibility of federal NOL carryforwards, particularly for tax years beginning after December 31, 2020, may be limited. It is uncertain if and to what extent various states will conform to the Tax Act or the CARES 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In addition, our NOL carryforwards are subject to review and possible adjustment by the IRS, and state tax authorities. Under Section 382 of the Code, our federal NOL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this offering. Similar rules may apply under state tax laws. We have not yet determined the amount of the cumulative change in our ownership resulting from this offering or other transactions, or any resulting limitations on our ability to utilize our NOL carryforwards and other tax attributes.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87"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product candidates and other proprietary technologies we may develop as well as our ability to operate without infringing upon the proprietary rights of others. We seek to protect our proprietary position, in part, by filing patent applications in the United States and abroad relating to our product candidates and other proprietary technologies we may develop. If we are unable to obtain or maintain patent protection with respect to our product candidates and other proprietary technologies we may develop, our business, financial condition, results of operations and prospects could be materially harmed.</w:t>
      </w:r>
    </w:p>
    <w:p>
      <w:pPr>
        <w:spacing w:after="0" w:line="192"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We cannot predict whether the patent applications we are currently pursuing will issue as patents in any particular jurisdiction or whether the claims of any issued patents will provide sufficient protection against competitors or other third parties.</w:t>
      </w:r>
    </w:p>
    <w:p>
      <w:pPr>
        <w:spacing w:after="0" w:line="171"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CROs,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pending patent applications, or that we were the first to file for patent protection of such inventions.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301" w:lineRule="auto"/>
        <w:rPr>
          <w:sz w:val="20"/>
          <w:szCs w:val="20"/>
          <w:color w:val="auto"/>
        </w:rPr>
      </w:pPr>
      <w:r>
        <w:rPr>
          <w:rFonts w:ascii="Arial" w:cs="Arial" w:eastAsia="Arial" w:hAnsi="Arial"/>
          <w:sz w:val="16"/>
          <w:szCs w:val="16"/>
          <w:color w:val="auto"/>
        </w:rPr>
        <w:t>The patent position of biopharmaceutical and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product candidates and other proprietary technologies we may develop or which effectively prevent others from commercializing competitive technologies and products.</w:t>
      </w:r>
    </w:p>
    <w:p>
      <w:pPr>
        <w:spacing w:after="0" w:line="15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USPTO, or become involved in opposition, derivation, revocation, reexamination, post- 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do not own or license any issued patents and substantive examination has not begun on any of our pending patent applications, which makes it is difficult to forecast the extent of any future patent rights.</w:t>
      </w:r>
    </w:p>
    <w:p>
      <w:pPr>
        <w:spacing w:after="0" w:line="170"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We cannot be certain that the claims in our U.S. pending patent applications or corresponding international patent applications, or future patent applications in certain foreign territories, will be considered patentable by the USPTO. Patent claims are subject to revision during prosecution and pending patent applications cannot be enforced against third parties practicing the technology claimed in such applications unless, and until, patents issue from such applications, which will likely be several years from now, and then only to the extent the issued claims cover the third party’s technology. There can be no assurance that our patent applications will result in patents being issued or that issued patents will afford sufficient protection against competitors with similar technology. At present, we have only filed U.S. provisional patent applications and international patent applications under the Patent Cooperation Treaty, or the PCT. None of our patent applications have entered substantive examination by a patent office, which makes it impossible at this time to gauge which art will be cited by examiners or the extent of any rejections we may receive. For example, examiners at a patent office may uncover prior art of which we were not previously aware, and if this cited prior art encompasses our claimed inventions, it may restrict patentability or prevent allowance of any pending patent claims. Furthermore, the patent prosecution process is expensive, time-consuming, and often a multi-year process. We and any future licensors may not be able to file and prosecute all necessary or desirable patent applications at a reasonable cost or in a timely manner or in all jurisdictions where protection may be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commercially advantageous. Therefore, we cannot be certain that we will own any issued patents or develop a patent portfolio, which could have a material adverse effect on our business, financial condition, results of operations, and prospects.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Filing, prosecuting and defending patents on our product candidates and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6"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intellectual property and proprietary rights generally. In India, unlike the United States, there is no link between regulatory approval for a drug and its patent status.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U.S. and other jurisdictions.</w:t>
      </w:r>
    </w:p>
    <w:p>
      <w:pPr>
        <w:spacing w:after="0" w:line="181"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patents and applications. The USPTO and various non-U.S. government agencies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left="120" w:right="40" w:firstLine="881"/>
        <w:spacing w:after="0" w:line="284"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Since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w:t>
      </w:r>
    </w:p>
    <w:p>
      <w:pPr>
        <w:spacing w:after="0" w:line="1" w:lineRule="exact"/>
        <w:rPr>
          <w:sz w:val="20"/>
          <w:szCs w:val="20"/>
          <w:color w:val="auto"/>
        </w:rPr>
      </w:pPr>
    </w:p>
    <w:p>
      <w:pPr>
        <w:ind w:left="120" w:right="280" w:hanging="4"/>
        <w:spacing w:after="0" w:line="260"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 any patent application related to our product candidates and other proprietary technologies we may develop or (ii) invent any of the inventions claimed in our patent applications.</w:t>
      </w:r>
    </w:p>
    <w:p>
      <w:pPr>
        <w:spacing w:after="0" w:line="18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p>
    <w:p>
      <w:pPr>
        <w:spacing w:after="0" w:line="168"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ability to protect and enforce our intellectual property in the future.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Issued patents relating to our product candidates and other proprietary technologies we may develop could be found invalid or unenforceable if challenged in court or before administrative bodies in the United States or abroad.</w:t>
      </w:r>
    </w:p>
    <w:p>
      <w:pPr>
        <w:spacing w:after="0" w:line="170"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If we initiated legal proceedings against a third party to enforce a patent relating to our product candidates and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patents in such a way that they no longer cover our product candidates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and other proprietary technologies we may develop. Such a loss of patent protection would have a material adverse impact on our business, financial condition, results of operations and prospects.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relating to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 we may develop, one or more of patents issuing from our U.S. patent applications may be eligible for limited patent term extension under the Drug Price Competition and Patent Term Restoration Action of 1984, or the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any clinical trials, the period of time during which we could market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In addition to seeking patent protection for our product candidates and other proprietary technologies we may develop, we also rely on trade secrets and confidentiality agreements to protect our unpatented know-how, technology, and other proprietary information and to maintain our competitive position. With respect to our development programs, we consider trade secrets and know-how to be one of our important sources of intellectual property, including our extensive knowledge of crystallography structure-based drug design.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77"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We seek to protect these trade secrets and other proprietary technology, in part, by entering into non-disclosure and confidentiality agreements with parties who have access to them, such as our employees, CROs,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68"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trade secrets that are important to our product candidates and other proprietary technologies we may develop. Even if we are successful in defending against such claims, litigation could result in substantial costs and be a distraction to our management and other employees.</w:t>
      </w:r>
    </w:p>
    <w:p>
      <w:pPr>
        <w:spacing w:after="0" w:line="146" w:lineRule="exact"/>
        <w:rPr>
          <w:sz w:val="20"/>
          <w:szCs w:val="20"/>
          <w:color w:val="auto"/>
        </w:rPr>
      </w:pPr>
    </w:p>
    <w:p>
      <w:pPr>
        <w:ind w:left="120" w:right="360" w:firstLine="881"/>
        <w:spacing w:after="0" w:line="259" w:lineRule="auto"/>
        <w:rPr>
          <w:sz w:val="20"/>
          <w:szCs w:val="20"/>
          <w:color w:val="auto"/>
        </w:rPr>
      </w:pPr>
      <w:r>
        <w:rPr>
          <w:rFonts w:ascii="Arial" w:cs="Arial" w:eastAsia="Arial" w:hAnsi="Arial"/>
          <w:sz w:val="18"/>
          <w:szCs w:val="18"/>
          <w:color w:val="auto"/>
        </w:rPr>
        <w:t>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Any of the foregoing could have a material adverse effect on our business, financial condition, results of operations and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 we may develop through acquisitions and in-licenses.</w:t>
      </w:r>
    </w:p>
    <w:p>
      <w:pPr>
        <w:spacing w:after="0" w:line="248"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currently solely own intellectual property rights covering our product candidates.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product candidates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6"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4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Some of our employees, consultants and advisors are currently or were previously employed at universities or other biopharmaceutical or biotechnology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9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Third-party claims of intellectual property infringement, misappropriation or other violations against us or our collaborators may prevent or delay the development and commercialization of our product candidates and other proprietary technologies we may develop.</w:t>
      </w:r>
    </w:p>
    <w:p>
      <w:pPr>
        <w:spacing w:after="0" w:line="124"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biopharmaceutical and biotechnology industries, as well as administrative proceedings for challenging patents, including derivation and reexamination proceedings before the USPTO or oppositions and other comparable proceedings in foreign jurisdictions. As discussed above, as a result of the America Invests Act, procedures including inter partes review and post-grant review have been implemented. The America Invents Act adds uncertainty to the possibility of challenge to our patents in the future.</w:t>
      </w:r>
    </w:p>
    <w:p>
      <w:pPr>
        <w:spacing w:after="0" w:line="178"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Numerous U.S. and foreign issued patents and pending patent applications owned by third parties exist in the fields in which we are commercializing or plan to commercialize our product candidates and in which we are developing other proprietary technologies. As the biopharmaceutical and biotechnology industries expand and more patents are issued, the risk increases that our product candidates and commercializing activities may give rise to claims of infringement of the patent rights of others. We cannot assure you that our product candidates and other proprietary technologies we may develop will not infringe existing or future patents owned by third parties. We may not be aware of patents that have already been issued and that a third party, for example,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monitor third-party patents in the relevant pharmaceutical markets. In addition, because patent applications can take many years to issue and may be confidential for 18 months or more after filing, there may be currently pending patent applications that may later result in issued patents that we may infringe.</w:t>
      </w:r>
    </w:p>
    <w:p>
      <w:pPr>
        <w:spacing w:after="0" w:line="16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81" w:lineRule="exact"/>
        <w:rPr>
          <w:sz w:val="20"/>
          <w:szCs w:val="20"/>
          <w:color w:val="auto"/>
        </w:rPr>
      </w:pPr>
    </w:p>
    <w:p>
      <w:pPr>
        <w:ind w:left="120" w:right="200" w:firstLine="881"/>
        <w:spacing w:after="0" w:line="275" w:lineRule="auto"/>
        <w:rPr>
          <w:sz w:val="20"/>
          <w:szCs w:val="20"/>
          <w:color w:val="auto"/>
        </w:rPr>
      </w:pPr>
      <w:r>
        <w:rPr>
          <w:rFonts w:ascii="Arial" w:cs="Arial" w:eastAsia="Arial" w:hAnsi="Arial"/>
          <w:sz w:val="17"/>
          <w:szCs w:val="17"/>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76"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Defense of infringement claims, regardless of their merit, would involve substantial litigation expense and would be a substantial diversion of management and other employee resources from our business, and may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product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product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82"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92"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product candidates.</w:t>
      </w:r>
    </w:p>
    <w:p>
      <w:pPr>
        <w:spacing w:after="0" w:line="19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Third parties, such as a competitor, may infringe, misappropriate, or otherwise violate our future issued patents and other intellectual property rights. In a patent infringement proceeding, a court may decide that a patent owned by us is invalid or unenforceable or may refuse to stop the other party from using the invention at issue on the grounds that the patent does not cover the technology in question or that the other party’s use of our patented technology falls under the safe harbor to patent infringement under 35 U.S.C. §271(e)(1). In addition, our patent rights may become involved in inventorship, priority or validity disputes. To counter or defend against such claims can be expensive and time 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248"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addition, the uncertainties associated with litigation could compromise our ability to raise the funds necessary to continue any clinical trials, continue our internal research programs, in-license needed technology or other product candidates, or enter into development partnerships that would help us bring our product candidates to market. In such cases, we may decide that the more prudent course of action is to simply monitor the situation or initiate or seek some other non-litigious action or solution.</w:t>
      </w:r>
    </w:p>
    <w:p>
      <w:pPr>
        <w:spacing w:after="0" w:line="16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68"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1420" w:right="6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 or utilize similar technology but that are not covered by the claims of the patents that we may license or may own;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current or future patent applications;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our inventions;</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current or future patent applications will not lead to issued patents;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patent issuing from our current or future patent applications may be held invalid or unenforceable, including as a result of legal challenges by our competitors or other third parties;</w:t>
      </w:r>
    </w:p>
    <w:p>
      <w:pPr>
        <w:spacing w:after="0" w:line="197" w:lineRule="exact"/>
        <w:rPr>
          <w:rFonts w:ascii="Arial" w:cs="Arial" w:eastAsia="Arial" w:hAnsi="Arial"/>
          <w:sz w:val="18"/>
          <w:szCs w:val="18"/>
          <w:color w:val="auto"/>
        </w:rPr>
      </w:pPr>
    </w:p>
    <w:p>
      <w:pPr>
        <w:jc w:val="both"/>
        <w:ind w:left="1420" w:right="320" w:hanging="319"/>
        <w:spacing w:after="0" w:line="263"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52"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component and process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We plan to work with diagnostic companies to use liquid biopsy companion diagnostic tests to aid in identifying appropriate patients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for the initial clinical trial.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6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Additionally, we might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8"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our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p>
    <w:p>
      <w:pPr>
        <w:spacing w:after="0" w:line="184"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may maintain a large quantity of sensitive information, including confidential business and patient health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w:t>
      </w:r>
    </w:p>
    <w:p>
      <w:pPr>
        <w:spacing w:after="0" w:line="16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may constitute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6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66"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color w:val="auto"/>
        </w:rPr>
        <w:t>In the European Union, in May 2018, a new privacy regime, the GDPR, took effect in the EEA. The GDPR governs the collection, use, disclosure, transfer or other processing of personal data of European persons. Among other things, the GDPR imposes new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However, the United Kingdom has transposed the GDPR into domestic law with the Data Protection Act 2018, which remains in force following the United Kingdom’s departure from the EU.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There has been no public market for our common stock and an active, liquid and orderly market for our common stock may not develop, and you may not be able to resell your common stock at or above the public offering price.</w:t>
      </w:r>
    </w:p>
    <w:p>
      <w:pPr>
        <w:spacing w:after="0" w:line="170"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Although our common stock has been approved for listing on the Nasdaq Global Market, or Nasdaq, an active trading market for our common stock may never develop or be sustained following this offering. We and the representatives of the underwriters will determine the initial public offering price of our common stock through negotiations and the negotiated price may not be indicative of the market price of our common stock after this offering. This price will not necessarily reflect the price at which investors in the market will be willing to buy and sell our shares following this offering. In addition, an active trading market may not develop following the consummation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trading price of the shares of our common stock could be highly volatile, and purchasers of our common stock could incur substantial losses.</w:t>
      </w:r>
    </w:p>
    <w:p>
      <w:pPr>
        <w:spacing w:after="0" w:line="260"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214" w:lineRule="exact"/>
        <w:rPr>
          <w:sz w:val="20"/>
          <w:szCs w:val="20"/>
          <w:color w:val="auto"/>
        </w:rPr>
      </w:pPr>
    </w:p>
    <w:p>
      <w:pPr>
        <w:ind w:left="1420" w:right="52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and the results of trials of our competitors or those of other companies in our market sector;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enroll patients in our future clinical trials;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marketing approval of our product candidates, or limitations to specific label indications or patient populations for its use, or changes or delays in the regulatory review process;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or failure of our efforts to develop, acquire or license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innovations, clinical trial results, product approvals and other developments regarding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collaborators or other strategic partners;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other events or factors, many of which are beyond our control;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225"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225"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suffer immediate and substantial dilution in the net tangible book value of the common stock you purchase.</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outstanding common stock immediately after the completion of this offering. Purchasers of common stock in this offering will experience</w:t>
      </w:r>
    </w:p>
    <w:p>
      <w:pPr>
        <w:ind w:left="120" w:right="60"/>
        <w:spacing w:after="0" w:line="273" w:lineRule="auto"/>
        <w:rPr>
          <w:sz w:val="20"/>
          <w:szCs w:val="20"/>
          <w:color w:val="auto"/>
        </w:rPr>
      </w:pPr>
      <w:r>
        <w:rPr>
          <w:rFonts w:ascii="Arial" w:cs="Arial" w:eastAsia="Arial" w:hAnsi="Arial"/>
          <w:sz w:val="17"/>
          <w:szCs w:val="17"/>
          <w:color w:val="auto"/>
        </w:rPr>
        <w:t>immediate dilution of approximately $ per share, based upon the initial public offering price of $ per share, which is the midpoint of the price range set forth on the cover page of this prospectus.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“Dilution.”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significantly influence all matters submitted to stockholders for approval.</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Following the completion of this offering, our executive officers, directors and greater than 5% stockholders, in the aggregate, will own</w:t>
      </w:r>
    </w:p>
    <w:p>
      <w:pPr>
        <w:spacing w:after="0" w:line="35"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approximately % of our outstanding common stock (assuming no exercise of the underwriters’ option to purchase additional shares and no exercise of outstanding options). As a result, such persons, acting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70"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by our existing stockholders in the public market could cause our stock price to fall.</w:t>
      </w:r>
    </w:p>
    <w:p>
      <w:pPr>
        <w:spacing w:after="0" w:line="260" w:lineRule="exact"/>
        <w:rPr>
          <w:sz w:val="20"/>
          <w:szCs w:val="20"/>
          <w:color w:val="auto"/>
        </w:rPr>
      </w:pPr>
    </w:p>
    <w:p>
      <w:pPr>
        <w:ind w:left="120" w:right="520" w:firstLine="881"/>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400" w:lineRule="exact"/>
        <w:rPr>
          <w:sz w:val="20"/>
          <w:szCs w:val="20"/>
          <w:color w:val="auto"/>
        </w:rPr>
      </w:pPr>
    </w:p>
    <w:p>
      <w:pPr>
        <w:ind w:left="120" w:right="300"/>
        <w:spacing w:after="0" w:line="274" w:lineRule="auto"/>
        <w:rPr>
          <w:sz w:val="20"/>
          <w:szCs w:val="20"/>
          <w:color w:val="auto"/>
        </w:rPr>
      </w:pPr>
      <w:r>
        <w:rPr>
          <w:rFonts w:ascii="Arial" w:cs="Arial" w:eastAsia="Arial" w:hAnsi="Arial"/>
          <w:sz w:val="17"/>
          <w:szCs w:val="17"/>
          <w:color w:val="auto"/>
        </w:rPr>
        <w:t>of shares of common stock, assuming no exercise of the underwriters’ option to purchase additional shares and no exercise of outstanding options. Of these shares, only the shares of common stock sold in this offering by us, plus any shares sold upon exercise of the underwriters’</w:t>
      </w:r>
    </w:p>
    <w:p>
      <w:pPr>
        <w:ind w:left="120" w:right="20"/>
        <w:spacing w:after="0" w:line="260" w:lineRule="auto"/>
        <w:rPr>
          <w:sz w:val="20"/>
          <w:szCs w:val="20"/>
          <w:color w:val="auto"/>
        </w:rPr>
      </w:pPr>
      <w:r>
        <w:rPr>
          <w:rFonts w:ascii="Arial" w:cs="Arial" w:eastAsia="Arial" w:hAnsi="Arial"/>
          <w:sz w:val="18"/>
          <w:szCs w:val="18"/>
          <w:color w:val="auto"/>
        </w:rPr>
        <w:t>option to purchase additional shares, will be freely tradable, without restriction, in the public market immediately following this offering, unless they are purchased by one of our affiliates.</w:t>
      </w:r>
    </w:p>
    <w:p>
      <w:pPr>
        <w:spacing w:after="0" w:line="18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Our directors and executive officers and holders of substantially all of our outstanding securities have entered into lock-up agreements with the underwriters pursuant to which they may not, with limited exceptions, for a period of 180 days from the date of this prospectus, offer, sell or otherwise transfer or dispose of any of our securities, without the prior written consent of BofA Securities, Inc., Jefferies LLC and Cowen and Company, LLC. The underwriters may permit our officers, directors and other securityholders who are subject to the lock-up agreements to sell shares prior to the expiration of the lock-up agreements at any time in their sole discretion. See “Underwriting.” Sales of these shares, or perceptions that they will be sold,</w:t>
      </w:r>
    </w:p>
    <w:p>
      <w:pPr>
        <w:spacing w:after="0" w:line="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could cause the trading price of our common stock to decline. After the lock-up agreements expire, up to an additional shares of common stock will be eligible for sale in the public market, of which shares are held by directors, executive officers and other affiliates and will be subject to volume limitations under Rule 144 under the Securities Act.</w:t>
      </w:r>
    </w:p>
    <w:p>
      <w:pPr>
        <w:spacing w:after="0" w:line="190" w:lineRule="exact"/>
        <w:rPr>
          <w:sz w:val="20"/>
          <w:szCs w:val="20"/>
          <w:color w:val="auto"/>
        </w:rPr>
      </w:pPr>
    </w:p>
    <w:p>
      <w:pPr>
        <w:ind w:left="1000"/>
        <w:spacing w:after="0"/>
        <w:tabs>
          <w:tab w:leader="none" w:pos="4060" w:val="left"/>
        </w:tabs>
        <w:rPr>
          <w:sz w:val="20"/>
          <w:szCs w:val="20"/>
          <w:color w:val="auto"/>
        </w:rPr>
      </w:pPr>
      <w:r>
        <w:rPr>
          <w:rFonts w:ascii="Arial" w:cs="Arial" w:eastAsia="Arial" w:hAnsi="Arial"/>
          <w:sz w:val="18"/>
          <w:szCs w:val="18"/>
          <w:color w:val="auto"/>
        </w:rPr>
        <w:t>In addition, as of March 31, 2021,</w:t>
      </w:r>
      <w:r>
        <w:rPr>
          <w:sz w:val="20"/>
          <w:szCs w:val="20"/>
          <w:color w:val="auto"/>
        </w:rPr>
        <w:tab/>
      </w:r>
      <w:r>
        <w:rPr>
          <w:rFonts w:ascii="Arial" w:cs="Arial" w:eastAsia="Arial" w:hAnsi="Arial"/>
          <w:sz w:val="16"/>
          <w:szCs w:val="16"/>
          <w:color w:val="auto"/>
        </w:rPr>
        <w:t>shares of common stock that are subject to outstanding options under our employee benefit plans</w:t>
      </w:r>
    </w:p>
    <w:p>
      <w:pPr>
        <w:spacing w:after="0" w:line="23" w:lineRule="exact"/>
        <w:rPr>
          <w:sz w:val="20"/>
          <w:szCs w:val="20"/>
          <w:color w:val="auto"/>
        </w:rPr>
      </w:pPr>
    </w:p>
    <w:p>
      <w:pPr>
        <w:jc w:val="both"/>
        <w:ind w:left="120" w:right="280"/>
        <w:spacing w:after="0" w:line="255" w:lineRule="auto"/>
        <w:rPr>
          <w:sz w:val="20"/>
          <w:szCs w:val="20"/>
          <w:color w:val="auto"/>
        </w:rPr>
      </w:pPr>
      <w:r>
        <w:rPr>
          <w:rFonts w:ascii="Arial" w:cs="Arial" w:eastAsia="Arial" w:hAnsi="Arial"/>
          <w:sz w:val="18"/>
          <w:szCs w:val="18"/>
          <w:color w:val="auto"/>
        </w:rPr>
        <w:t>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tabs>
          <w:tab w:leader="none" w:pos="4000" w:val="left"/>
          <w:tab w:leader="none" w:pos="8640" w:val="left"/>
        </w:tabs>
        <w:rPr>
          <w:sz w:val="20"/>
          <w:szCs w:val="20"/>
          <w:color w:val="auto"/>
        </w:rPr>
      </w:pPr>
      <w:r>
        <w:rPr>
          <w:rFonts w:ascii="Arial" w:cs="Arial" w:eastAsia="Arial" w:hAnsi="Arial"/>
          <w:sz w:val="18"/>
          <w:szCs w:val="18"/>
          <w:color w:val="auto"/>
        </w:rPr>
        <w:t>After this offering, the holders of</w:t>
      </w:r>
      <w:r>
        <w:rPr>
          <w:sz w:val="20"/>
          <w:szCs w:val="20"/>
          <w:color w:val="auto"/>
        </w:rPr>
        <w:tab/>
      </w:r>
      <w:r>
        <w:rPr>
          <w:rFonts w:ascii="Arial" w:cs="Arial" w:eastAsia="Arial" w:hAnsi="Arial"/>
          <w:sz w:val="18"/>
          <w:szCs w:val="18"/>
          <w:color w:val="auto"/>
        </w:rPr>
        <w:t>shares of our outstanding common stock, or approximately</w:t>
      </w:r>
      <w:r>
        <w:rPr>
          <w:sz w:val="20"/>
          <w:szCs w:val="20"/>
          <w:color w:val="auto"/>
        </w:rPr>
        <w:tab/>
      </w:r>
      <w:r>
        <w:rPr>
          <w:rFonts w:ascii="Arial" w:cs="Arial" w:eastAsia="Arial" w:hAnsi="Arial"/>
          <w:sz w:val="16"/>
          <w:szCs w:val="16"/>
          <w:color w:val="auto"/>
        </w:rPr>
        <w:t>% of our total outstanding</w:t>
      </w:r>
    </w:p>
    <w:p>
      <w:pPr>
        <w:spacing w:after="0" w:line="2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common stock based on shares outstanding as of March 31, 2021, will be entitled to rights with respect to the registration of their shares under the Securities Act, subject to vesting and the 180-day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9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70"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 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5" w:lineRule="exact"/>
        <w:rPr>
          <w:sz w:val="20"/>
          <w:szCs w:val="20"/>
          <w:color w:val="auto"/>
        </w:rPr>
      </w:pPr>
    </w:p>
    <w:p>
      <w:pPr>
        <w:ind w:left="1420" w:right="20" w:hanging="319"/>
        <w:spacing w:after="0" w:line="263"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10" w:lineRule="exact"/>
        <w:rPr>
          <w:rFonts w:ascii="Arial" w:cs="Arial" w:eastAsia="Arial" w:hAnsi="Arial"/>
          <w:sz w:val="18"/>
          <w:szCs w:val="18"/>
          <w:color w:val="auto"/>
        </w:rPr>
      </w:pPr>
    </w:p>
    <w:p>
      <w:pPr>
        <w:ind w:left="1420" w:right="68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the Sarbanes-Oxley Act;</w:t>
      </w:r>
    </w:p>
    <w:p>
      <w:pPr>
        <w:spacing w:after="0" w:line="197" w:lineRule="exact"/>
        <w:rPr>
          <w:rFonts w:ascii="Arial" w:cs="Arial" w:eastAsia="Arial" w:hAnsi="Arial"/>
          <w:sz w:val="18"/>
          <w:szCs w:val="18"/>
          <w:color w:val="auto"/>
        </w:rPr>
      </w:pPr>
    </w:p>
    <w:p>
      <w:pPr>
        <w:ind w:left="1420" w:right="180" w:hanging="319"/>
        <w:spacing w:after="0" w:line="286" w:lineRule="auto"/>
        <w:tabs>
          <w:tab w:leader="none" w:pos="1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6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Participation in this offering by our existing stockholders and/or their affiliated entities may reduce the public float for our common stock.</w:t>
      </w:r>
    </w:p>
    <w:p>
      <w:pPr>
        <w:spacing w:after="0" w:line="248" w:lineRule="exact"/>
        <w:rPr>
          <w:sz w:val="20"/>
          <w:szCs w:val="20"/>
          <w:color w:val="auto"/>
        </w:rPr>
      </w:pPr>
    </w:p>
    <w:p>
      <w:pPr>
        <w:ind w:left="120" w:right="300" w:firstLine="881"/>
        <w:spacing w:after="0" w:line="257"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4" w:lineRule="exact"/>
        <w:rPr>
          <w:sz w:val="20"/>
          <w:szCs w:val="20"/>
          <w:color w:val="auto"/>
        </w:rPr>
      </w:pPr>
    </w:p>
    <w:p>
      <w:pPr>
        <w:jc w:val="both"/>
        <w:ind w:left="120" w:right="80" w:firstLine="881"/>
        <w:spacing w:after="0" w:line="286"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w:t>
      </w:r>
    </w:p>
    <w:p>
      <w:pPr>
        <w:spacing w:after="0" w:line="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6"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65"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 regulations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Carlsbad,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6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92" w:lineRule="exact"/>
        <w:rPr>
          <w:sz w:val="20"/>
          <w:szCs w:val="20"/>
          <w:color w:val="auto"/>
        </w:rPr>
      </w:pPr>
    </w:p>
    <w:p>
      <w:pPr>
        <w:ind w:left="120" w:right="12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0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the annual report for our fiscal year ending December 31, 2022.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independent registered public accounting firm are unable to conclude that our internal control over financial reporting is effective, investors may lose confidence in our financial reporting and the trading price of our common stock may decline.</w:t>
      </w:r>
    </w:p>
    <w:p>
      <w:pPr>
        <w:spacing w:after="0" w:line="176"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214" w:lineRule="exact"/>
        <w:rPr>
          <w:sz w:val="20"/>
          <w:szCs w:val="20"/>
          <w:color w:val="auto"/>
        </w:rPr>
      </w:pPr>
    </w:p>
    <w:p>
      <w:pPr>
        <w:ind w:left="1420" w:right="8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263" w:lineRule="exact"/>
        <w:rPr>
          <w:rFonts w:ascii="Arial" w:cs="Arial" w:eastAsia="Arial" w:hAnsi="Arial"/>
          <w:sz w:val="17"/>
          <w:szCs w:val="17"/>
          <w:color w:val="auto"/>
        </w:rPr>
      </w:pPr>
    </w:p>
    <w:p>
      <w:pPr>
        <w:ind w:left="1420" w:hanging="319"/>
        <w:spacing w:after="0" w:line="263"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97"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252" w:lineRule="exact"/>
        <w:rPr>
          <w:rFonts w:ascii="Arial" w:cs="Arial" w:eastAsia="Arial" w:hAnsi="Arial"/>
          <w:sz w:val="18"/>
          <w:szCs w:val="18"/>
          <w:color w:val="auto"/>
        </w:rPr>
      </w:pPr>
    </w:p>
    <w:p>
      <w:pPr>
        <w:ind w:left="1420" w:right="160" w:hanging="319"/>
        <w:spacing w:after="0" w:line="342" w:lineRule="auto"/>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7"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97" w:lineRule="exact"/>
        <w:rPr>
          <w:rFonts w:ascii="Arial" w:cs="Arial" w:eastAsia="Arial" w:hAnsi="Arial"/>
          <w:sz w:val="18"/>
          <w:szCs w:val="18"/>
          <w:color w:val="auto"/>
        </w:rPr>
      </w:pPr>
    </w:p>
    <w:p>
      <w:pPr>
        <w:jc w:val="both"/>
        <w:ind w:left="1420" w:right="60" w:hanging="319"/>
        <w:spacing w:after="0" w:line="286" w:lineRule="auto"/>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b w:val="1"/>
          <w:bCs w:val="1"/>
          <w:i w:val="1"/>
          <w:iCs w:val="1"/>
          <w:color w:val="auto"/>
        </w:rPr>
        <w:t>Our current amended and restated certificate of incorporation provides, and our amended and restated certificate of incorporation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176"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Our current amended and restated certificate of incorporation provides, and our amended and restated certificate of incorporation that will be in effect immediately prior to the consummation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biotechnology companies have experienced significant stock price volatility in recent years. If we face such litigation, it could result in substantial costs and a diversion of our management’s attention and resources, which could harm our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r>
        <w:rPr>
          <w:rFonts w:ascii="Arial" w:cs="Arial" w:eastAsia="Arial" w:hAnsi="Arial"/>
          <w:sz w:val="18"/>
          <w:szCs w:val="18"/>
          <w:color w:val="auto"/>
        </w:rPr>
        <w:t>.</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320" w:top="459" w:right="5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statements are subject to substantial risks and uncertainties and are based on estimates and assumptions. All statements other than statements of historical facts contained in this prospectus, including statements concerning our future results of operations and financial position, the timing and likelihood of success, plans and objectives of management for future operations, and business trends and other information contained in this prospectus are forward-looking statements, including statements about:</w:t>
      </w:r>
    </w:p>
    <w:p>
      <w:pPr>
        <w:spacing w:after="0" w:line="215" w:lineRule="exact"/>
        <w:rPr>
          <w:sz w:val="20"/>
          <w:szCs w:val="20"/>
          <w:color w:val="auto"/>
        </w:rPr>
      </w:pPr>
    </w:p>
    <w:p>
      <w:pPr>
        <w:ind w:left="1420" w:right="8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INDs and final FDA approval of our current and future product candidates, including TYRA-300;</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preclinical studies and planned clinical trials to demonstrate safety and efficacy of our product candidates, and other positive results;</w:t>
      </w:r>
    </w:p>
    <w:p>
      <w:pPr>
        <w:spacing w:after="0" w:line="197"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planned clinical trials for our current product candidates and other product candidates we may develop, including statements regarding the timing of initiation and completion of studies or trials and related preparatory work, the period during which the results of the studies or trials will become available, and our research and development programs;</w:t>
      </w:r>
    </w:p>
    <w:p>
      <w:pPr>
        <w:spacing w:after="0" w:line="213"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including TYRA-300, in any of the indications for which we plan to develop them, and any related restrictions, limitations, and/or warnings in the label of an approved product candidate;</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the clinical trials of any of our current and future product candidates, including TYRA-300;</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 including TYRA-300;</w:t>
      </w:r>
    </w:p>
    <w:p>
      <w:pPr>
        <w:spacing w:after="0" w:line="252"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and negotiate favorable terms of, any collaboration, licensing or other arrangements that may be necessary or desirable to develop, manufacture or commercialize our current and future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of the markets for our product candidates, and our ability to serve those markets;</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preclinical studies and planned clinical trials of our product candidates, and for the manufacture of our product candidates for preclinical studies and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commercialize our current and future product candidates, including TYRA-300;</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rate and degree of market acceptance of our current and future product candidates, including TYRA-300;</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develop and maintain sales and marketing capabilities, whether alone or with potential future collaborators;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40"/>
          </w:cols>
          <w:pgMar w:left="320" w:top="459"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use of the proceeds from this offering;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revenues, capital requirements and needs for additional financing;</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 and</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 and our ability to operate our business without infringing on the intellectual property rights of others.</w:t>
      </w:r>
    </w:p>
    <w:p>
      <w:pPr>
        <w:spacing w:after="0" w:line="170"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In some cases, you can identify forward-looking statements by terms such as “anticipate,” “believe,” “continue” “could,” “estimate,” “expect,” “intend,” “may,” “plan,” “potential,” “predict,” “project,” “should,” “target” or “will” or the negative of these terms or other similar expressions intended to identify statements about the future.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7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You should read the section titled “Risk Factors”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78"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in this prospectus by these cautionary statements.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Certain market, industry and competitive data included in this prospectus were obtained from our own internal estimates and research, as well as from publicly available information, reports of governmental agencies and academic and industry research, publications and surveys conducted by third parties.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involve a number of assumptions and limitations. While we believe that the data we use from third parties are reliable, we have not separately verified this data.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The industry in which we operate is subject to a high degree of uncertainty and risk due to a variety of factors, including those described in the section of this prospectus titled “Risk Factors.” These and other factors could cause results to differ materially from those expressed in the estimates made by the independent parties and by us.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9" w:right="5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71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900" w:type="dxa"/>
            <w:vAlign w:val="bottom"/>
          </w:tcPr>
          <w:p>
            <w:pPr>
              <w:spacing w:after="0"/>
              <w:rPr>
                <w:sz w:val="17"/>
                <w:szCs w:val="17"/>
                <w:color w:val="auto"/>
              </w:rPr>
            </w:pPr>
          </w:p>
        </w:tc>
      </w:tr>
      <w:tr>
        <w:trPr>
          <w:trHeight w:val="533"/>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800" w:type="dxa"/>
            <w:vAlign w:val="bottom"/>
          </w:tcPr>
          <w:p>
            <w:pPr>
              <w:ind w:left="3420"/>
              <w:spacing w:after="0"/>
              <w:rPr>
                <w:sz w:val="20"/>
                <w:szCs w:val="20"/>
                <w:color w:val="auto"/>
              </w:rPr>
            </w:pPr>
            <w:r>
              <w:rPr>
                <w:rFonts w:ascii="Arial" w:cs="Arial" w:eastAsia="Arial" w:hAnsi="Arial"/>
                <w:sz w:val="18"/>
                <w:szCs w:val="18"/>
                <w:b w:val="1"/>
                <w:bCs w:val="1"/>
                <w:color w:val="auto"/>
              </w:rPr>
              <w:t>USE OF PROCEEDS</w:t>
            </w:r>
          </w:p>
        </w:tc>
        <w:tc>
          <w:tcPr>
            <w:tcW w:w="390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6460" w:type="dxa"/>
            <w:vAlign w:val="bottom"/>
            <w:gridSpan w:val="2"/>
          </w:tcPr>
          <w:p>
            <w:pPr>
              <w:ind w:left="300"/>
              <w:spacing w:after="0"/>
              <w:rPr>
                <w:sz w:val="20"/>
                <w:szCs w:val="20"/>
                <w:color w:val="auto"/>
              </w:rPr>
            </w:pPr>
            <w:r>
              <w:rPr>
                <w:rFonts w:ascii="Arial" w:cs="Arial" w:eastAsia="Arial" w:hAnsi="Arial"/>
                <w:sz w:val="18"/>
                <w:szCs w:val="18"/>
                <w:color w:val="auto"/>
                <w:w w:val="95"/>
              </w:rPr>
              <w:t>We estimate that the net proceeds to us from this offering will be approximately $</w:t>
            </w:r>
          </w:p>
        </w:tc>
        <w:tc>
          <w:tcPr>
            <w:tcW w:w="3900" w:type="dxa"/>
            <w:vAlign w:val="bottom"/>
          </w:tcPr>
          <w:p>
            <w:pPr>
              <w:ind w:left="300"/>
              <w:spacing w:after="0"/>
              <w:rPr>
                <w:sz w:val="20"/>
                <w:szCs w:val="20"/>
                <w:color w:val="auto"/>
              </w:rPr>
            </w:pPr>
            <w:r>
              <w:rPr>
                <w:rFonts w:ascii="Arial" w:cs="Arial" w:eastAsia="Arial" w:hAnsi="Arial"/>
                <w:sz w:val="18"/>
                <w:szCs w:val="18"/>
                <w:color w:val="auto"/>
                <w:w w:val="96"/>
              </w:rPr>
              <w:t>million, assuming an initial public offering price</w:t>
            </w:r>
          </w:p>
        </w:tc>
      </w:tr>
      <w:tr>
        <w:trPr>
          <w:trHeight w:val="230"/>
        </w:trPr>
        <w:tc>
          <w:tcPr>
            <w:tcW w:w="700" w:type="dxa"/>
            <w:vAlign w:val="bottom"/>
          </w:tcPr>
          <w:p>
            <w:pPr>
              <w:ind w:left="120"/>
              <w:spacing w:after="0"/>
              <w:rPr>
                <w:sz w:val="20"/>
                <w:szCs w:val="20"/>
                <w:color w:val="auto"/>
              </w:rPr>
            </w:pPr>
            <w:r>
              <w:rPr>
                <w:rFonts w:ascii="Arial" w:cs="Arial" w:eastAsia="Arial" w:hAnsi="Arial"/>
                <w:sz w:val="18"/>
                <w:szCs w:val="18"/>
                <w:color w:val="auto"/>
              </w:rPr>
              <w:t>of $</w:t>
            </w:r>
          </w:p>
        </w:tc>
        <w:tc>
          <w:tcPr>
            <w:tcW w:w="10360" w:type="dxa"/>
            <w:vAlign w:val="bottom"/>
            <w:gridSpan w:val="3"/>
          </w:tcPr>
          <w:p>
            <w:pPr>
              <w:ind w:left="280"/>
              <w:spacing w:after="0"/>
              <w:rPr>
                <w:sz w:val="20"/>
                <w:szCs w:val="20"/>
                <w:color w:val="auto"/>
              </w:rPr>
            </w:pPr>
            <w:r>
              <w:rPr>
                <w:rFonts w:ascii="Arial" w:cs="Arial" w:eastAsia="Arial" w:hAnsi="Arial"/>
                <w:sz w:val="18"/>
                <w:szCs w:val="18"/>
                <w:color w:val="auto"/>
                <w:w w:val="90"/>
              </w:rPr>
              <w:t>per share, which is the midpoint of the price range set forth on the cover page of this prospectus, and after deducting estimated underwriting</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discounts and commissions and estimated offering expenses payable by us. If the underwriters’ option to purchase additional shares from us is exercised</w:t>
      </w:r>
    </w:p>
    <w:p>
      <w:pPr>
        <w:spacing w:after="0" w:line="3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full, we estimate that our net proceeds will be approximately $ million, after deducting estimated underwriting discounts and commissions and estimated offering expenses payable by us.</w:t>
      </w:r>
    </w:p>
    <w:p>
      <w:pPr>
        <w:spacing w:after="0" w:line="170" w:lineRule="exact"/>
        <w:rPr>
          <w:sz w:val="20"/>
          <w:szCs w:val="20"/>
          <w:color w:val="auto"/>
        </w:rPr>
      </w:pPr>
    </w:p>
    <w:p>
      <w:pPr>
        <w:ind w:left="120" w:right="20" w:firstLine="881"/>
        <w:spacing w:after="0" w:line="274" w:lineRule="auto"/>
        <w:rPr>
          <w:sz w:val="20"/>
          <w:szCs w:val="20"/>
          <w:color w:val="auto"/>
        </w:rPr>
      </w:pPr>
      <w:r>
        <w:rPr>
          <w:rFonts w:ascii="Arial" w:cs="Arial" w:eastAsia="Arial" w:hAnsi="Arial"/>
          <w:sz w:val="17"/>
          <w:szCs w:val="17"/>
          <w:color w:val="auto"/>
        </w:rPr>
        <w:t>Each $1.00 increase (decrease) in the assumed initial public offering price of $ per share, which is the midpoint of the price range set forth on the cover page of this prospectus, would increase (decrease) the net proceeds to us from this offering by approximately $ million,</w:t>
      </w:r>
    </w:p>
    <w:p>
      <w:pPr>
        <w:ind w:left="120" w:right="40"/>
        <w:spacing w:after="0" w:line="281" w:lineRule="auto"/>
        <w:rPr>
          <w:sz w:val="20"/>
          <w:szCs w:val="20"/>
          <w:color w:val="auto"/>
        </w:rPr>
      </w:pPr>
      <w:r>
        <w:rPr>
          <w:rFonts w:ascii="Arial" w:cs="Arial" w:eastAsia="Arial" w:hAnsi="Arial"/>
          <w:sz w:val="16"/>
          <w:szCs w:val="16"/>
          <w:color w:val="auto"/>
        </w:rPr>
        <w:t>assuming that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 1,000,000 share increase (decrease) in the number of shares offered by us would increase (decrease) the net proceeds to us from this offering</w:t>
      </w:r>
    </w:p>
    <w:p>
      <w:pPr>
        <w:spacing w:after="0" w:line="2"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by approximately $ million, assuming that the assumed initial offering price of $ per share, which is the midpoint of the price range set forth on the cover page of this prospectus, remains the same, and after deducting estimated underwriting discounts and commissions and estimated offering expenses payable by us. We do not expect that a change in the initial price to the public or the number of shares by these amounts would have a material effect on the uses of the proceeds from this offering, although it may accelerate the time at which we will need to seek additional capital.</w:t>
      </w:r>
    </w:p>
    <w:p>
      <w:pPr>
        <w:spacing w:after="0" w:line="176"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 We intend to use the net proceeds from this offering, together with our existing cash and cash equivalents, as follows:</w:t>
      </w:r>
    </w:p>
    <w:p>
      <w:pPr>
        <w:spacing w:after="0" w:line="211"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rPr>
              <w:t>approximately $</w:t>
            </w:r>
          </w:p>
        </w:tc>
        <w:tc>
          <w:tcPr>
            <w:tcW w:w="4680" w:type="dxa"/>
            <w:vAlign w:val="bottom"/>
          </w:tcPr>
          <w:p>
            <w:pPr>
              <w:ind w:left="280"/>
              <w:spacing w:after="0"/>
              <w:rPr>
                <w:sz w:val="20"/>
                <w:szCs w:val="20"/>
                <w:color w:val="auto"/>
              </w:rPr>
            </w:pPr>
            <w:r>
              <w:rPr>
                <w:rFonts w:ascii="Arial" w:cs="Arial" w:eastAsia="Arial" w:hAnsi="Arial"/>
                <w:sz w:val="18"/>
                <w:szCs w:val="18"/>
                <w:color w:val="auto"/>
                <w:w w:val="97"/>
              </w:rPr>
              <w:t>to fund the development of TYRA-300, including through</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rPr>
              <w:t>approximately $</w:t>
            </w:r>
          </w:p>
        </w:tc>
        <w:tc>
          <w:tcPr>
            <w:tcW w:w="5420" w:type="dxa"/>
            <w:vAlign w:val="bottom"/>
            <w:gridSpan w:val="2"/>
          </w:tcPr>
          <w:p>
            <w:pPr>
              <w:ind w:left="280"/>
              <w:spacing w:after="0"/>
              <w:rPr>
                <w:sz w:val="20"/>
                <w:szCs w:val="20"/>
                <w:color w:val="auto"/>
              </w:rPr>
            </w:pPr>
            <w:r>
              <w:rPr>
                <w:rFonts w:ascii="Arial" w:cs="Arial" w:eastAsia="Arial" w:hAnsi="Arial"/>
                <w:sz w:val="18"/>
                <w:szCs w:val="18"/>
                <w:color w:val="auto"/>
                <w:w w:val="97"/>
              </w:rPr>
              <w:t>to fund the development of our FGFR2 program, including through</w:t>
            </w:r>
          </w:p>
        </w:tc>
        <w:tc>
          <w:tcPr>
            <w:tcW w:w="14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rPr>
              <w:t>approximately $</w:t>
            </w:r>
          </w:p>
        </w:tc>
        <w:tc>
          <w:tcPr>
            <w:tcW w:w="6820" w:type="dxa"/>
            <w:vAlign w:val="bottom"/>
            <w:gridSpan w:val="3"/>
          </w:tcPr>
          <w:p>
            <w:pPr>
              <w:ind w:left="280"/>
              <w:spacing w:after="0"/>
              <w:rPr>
                <w:sz w:val="20"/>
                <w:szCs w:val="20"/>
                <w:color w:val="auto"/>
              </w:rPr>
            </w:pPr>
            <w:r>
              <w:rPr>
                <w:rFonts w:ascii="Arial" w:cs="Arial" w:eastAsia="Arial" w:hAnsi="Arial"/>
                <w:sz w:val="18"/>
                <w:szCs w:val="18"/>
                <w:color w:val="auto"/>
                <w:w w:val="95"/>
              </w:rPr>
              <w:t>to fund the development of our FGFR3 program for achondroplasia, including through</w:t>
            </w:r>
          </w:p>
        </w:tc>
        <w:tc>
          <w:tcPr>
            <w:tcW w:w="640" w:type="dxa"/>
            <w:vAlign w:val="bottom"/>
          </w:tcPr>
          <w:p>
            <w:pPr>
              <w:ind w:left="280"/>
              <w:spacing w:after="0"/>
              <w:rPr>
                <w:sz w:val="20"/>
                <w:szCs w:val="20"/>
                <w:color w:val="auto"/>
              </w:rPr>
            </w:pPr>
            <w:r>
              <w:rPr>
                <w:rFonts w:ascii="Arial" w:cs="Arial" w:eastAsia="Arial" w:hAnsi="Arial"/>
                <w:sz w:val="18"/>
                <w:szCs w:val="18"/>
                <w:color w:val="auto"/>
                <w:w w:val="84"/>
              </w:rPr>
              <w:t>; and</w:t>
            </w:r>
          </w:p>
        </w:tc>
      </w:tr>
    </w:tbl>
    <w:p>
      <w:pPr>
        <w:spacing w:after="0" w:line="229" w:lineRule="exact"/>
        <w:rPr>
          <w:sz w:val="20"/>
          <w:szCs w:val="20"/>
          <w:color w:val="auto"/>
        </w:rPr>
      </w:pPr>
    </w:p>
    <w:p>
      <w:pPr>
        <w:ind w:left="1420" w:right="42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remainder to fund the discovery and preclinical development of additional product candidates, as well as for headcount costs, working capital and other general corporate purposes.</w:t>
      </w:r>
    </w:p>
    <w:p>
      <w:pPr>
        <w:spacing w:after="0" w:line="170"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We may also use a portion of the net proceeds to in-license, acquire, or invest in additional businesses, technologies, products or assets, although currently we have no specific agreements, commitments or understandings in this regard.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Based on our planned use of the net proceeds from this offering and our current cash and cash equivalents, we estimate that such funds will</w:t>
      </w:r>
    </w:p>
    <w:p>
      <w:pPr>
        <w:spacing w:after="0" w:line="46" w:lineRule="exact"/>
        <w:rPr>
          <w:sz w:val="20"/>
          <w:szCs w:val="20"/>
          <w:color w:val="auto"/>
        </w:rPr>
      </w:pPr>
    </w:p>
    <w:p>
      <w:pPr>
        <w:ind w:left="120" w:right="80"/>
        <w:spacing w:after="0" w:line="290" w:lineRule="auto"/>
        <w:rPr>
          <w:sz w:val="20"/>
          <w:szCs w:val="20"/>
          <w:color w:val="auto"/>
        </w:rPr>
      </w:pPr>
      <w:r>
        <w:rPr>
          <w:rFonts w:ascii="Arial" w:cs="Arial" w:eastAsia="Arial" w:hAnsi="Arial"/>
          <w:sz w:val="17"/>
          <w:szCs w:val="17"/>
          <w:color w:val="auto"/>
        </w:rPr>
        <w:t>enable us to fund our operating expenses and capital expenditure requirements through at least the next months. We have based this estimate on assumptions that may prove to be incorrect, and we could use our available capital resources sooner than we currently expect.</w:t>
      </w:r>
    </w:p>
    <w:p>
      <w:pPr>
        <w:spacing w:after="0" w:line="161"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This expected use of the net proceeds from this offering represents our current intentions based upon our present plans and business conditions, which could change in the future as our plans and business conditions evolve. As of the date of this prospectus, we cannot predict with certainty all of the particular uses for the net proceeds to be received upon the completion of this offering or the amounts that we will actually spend on the uses set forth above. Our existing cash as of the date of this prospectus, together with the estimated net proceeds from this offering, will not be sufficient to fund development of our product candidates through regulatory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4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approval and commercialization, and we will need to raise substantial additional capital to complete the development and commercialization of our product candidates. The amounts and timing of our actual expenditures may vary significantly depending on numerous factors, including the time and cost necessary to conduct our ongoing and planned preclinical studies and planned clinical trials, the results of such studies and trials, as well as any collaborations that we may enter into with third parties for our product candidates, and the amount of cash used in our operations and any unforeseen cash needs as well as other factors described in the section of this prospectus titled “Risk Factors”. We may find it necessary or advisable to use the net proceeds for other purposes. As a result, our management will retain broad discretion over the allocation of the net proceeds from this offering.</w:t>
      </w:r>
    </w:p>
    <w:p>
      <w:pPr>
        <w:spacing w:after="0" w:line="16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and intermediate-term, investment-grade, interest-bearing instruments and U.S. government securities.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320" w:top="459" w:right="5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2021:</w:t>
      </w:r>
    </w:p>
    <w:p>
      <w:pPr>
        <w:spacing w:after="0" w:line="252" w:lineRule="exact"/>
        <w:rPr>
          <w:sz w:val="20"/>
          <w:szCs w:val="20"/>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420" w:right="20" w:hanging="319"/>
        <w:spacing w:after="0" w:line="301" w:lineRule="auto"/>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of all outstanding shares of our convertible preferred stock into an aggregate of 10,097,839 shares of common stock upon the completion of this offering and the related reclassification of the carrying value of the convertible preferred stock to permanent equity immediately prior to the completion of this offering, and (ii) the filing and effectiveness of our amended and restated certificate of incorporation, which will occur upon the completion of this offering; and</w:t>
      </w:r>
    </w:p>
    <w:p>
      <w:pPr>
        <w:sectPr>
          <w:pgSz w:w="11900" w:h="16838" w:orient="portrait"/>
          <w:cols w:equalWidth="0" w:num="1">
            <w:col w:w="11140"/>
          </w:cols>
          <w:pgMar w:left="320" w:top="459" w:right="439" w:bottom="1440" w:gutter="0" w:footer="0" w:header="0"/>
        </w:sectPr>
      </w:pP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 pro forma as adjusted basis to give further effect to our issuance and sale of 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65" w:lineRule="exact"/>
        <w:rPr>
          <w:sz w:val="20"/>
          <w:szCs w:val="20"/>
          <w:color w:val="auto"/>
        </w:rPr>
      </w:pPr>
    </w:p>
    <w:p>
      <w:pPr>
        <w:sectPr>
          <w:pgSz w:w="11900" w:h="16838" w:orient="portrait"/>
          <w:cols w:equalWidth="0" w:num="2">
            <w:col w:w="1160" w:space="260"/>
            <w:col w:w="9720"/>
          </w:cols>
          <w:pgMar w:left="320" w:top="459" w:right="439" w:bottom="1440" w:gutter="0" w:footer="0" w:header="0"/>
          <w:type w:val="continuous"/>
        </w:sectPr>
      </w:pPr>
    </w:p>
    <w:p>
      <w:pPr>
        <w:ind w:left="120" w:right="40" w:firstLine="881"/>
        <w:spacing w:after="0" w:line="279" w:lineRule="auto"/>
        <w:rPr>
          <w:sz w:val="20"/>
          <w:szCs w:val="20"/>
          <w:color w:val="auto"/>
        </w:rPr>
      </w:pPr>
      <w:r>
        <w:rPr>
          <w:rFonts w:ascii="Arial" w:cs="Arial" w:eastAsia="Arial" w:hAnsi="Arial"/>
          <w:sz w:val="17"/>
          <w:szCs w:val="17"/>
          <w:color w:val="auto"/>
        </w:rPr>
        <w:t>The pro forma as adjusted information set forth above is illustrative only and our cash and cash equivalents and capitalization following the completion of this offering will change based on the actual initial public offering price and other terms of this offering determined at pricing. You should read the information in this table together with our financial statements and related notes included elsewhere in this prospectus and the section titled “Management’s Discussion and Analysis of Financial Condition and Results of Operations.”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As of March 31, 2021</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w:t>
            </w:r>
          </w:p>
        </w:tc>
        <w:tc>
          <w:tcPr>
            <w:tcW w:w="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Forma</w:t>
            </w:r>
          </w:p>
        </w:tc>
        <w:tc>
          <w:tcPr>
            <w:tcW w:w="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20" w:type="dxa"/>
            <w:vAlign w:val="bottom"/>
            <w:tcBorders>
              <w:top w:val="single" w:sz="8" w:color="auto"/>
            </w:tcBorders>
            <w:gridSpan w:val="7"/>
          </w:tcPr>
          <w:p>
            <w:pPr>
              <w:jc w:val="center"/>
              <w:ind w:right="70"/>
              <w:spacing w:after="0" w:line="119" w:lineRule="exact"/>
              <w:rPr>
                <w:sz w:val="20"/>
                <w:szCs w:val="20"/>
                <w:color w:val="auto"/>
              </w:rPr>
            </w:pPr>
            <w:r>
              <w:rPr>
                <w:rFonts w:ascii="Arial" w:cs="Arial" w:eastAsia="Arial" w:hAnsi="Arial"/>
                <w:sz w:val="13"/>
                <w:szCs w:val="13"/>
                <w:b w:val="1"/>
                <w:bCs w:val="1"/>
                <w:color w:val="auto"/>
                <w:w w:val="97"/>
              </w:rPr>
              <w:t>(in thousands, except share and per share data)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140,638</w:t>
            </w:r>
          </w:p>
        </w:tc>
        <w:tc>
          <w:tcPr>
            <w:tcW w:w="11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w w:val="99"/>
              </w:rPr>
              <w:t>Stockholders’ (deficit) equity:</w:t>
            </w: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6"/>
          </w:tcPr>
          <w:p>
            <w:pPr>
              <w:spacing w:after="0"/>
              <w:rPr>
                <w:sz w:val="20"/>
                <w:szCs w:val="20"/>
                <w:color w:val="auto"/>
              </w:rPr>
            </w:pPr>
            <w:r>
              <w:rPr>
                <w:rFonts w:ascii="Arial" w:cs="Arial" w:eastAsia="Arial" w:hAnsi="Arial"/>
                <w:sz w:val="18"/>
                <w:szCs w:val="18"/>
                <w:color w:val="auto"/>
                <w:w w:val="90"/>
              </w:rPr>
              <w:t>Common stock, $0.0001 par value; 12,987,667 shares authorized, 1,510,292 shares issued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3"/>
          </w:tcPr>
          <w:p>
            <w:pPr>
              <w:ind w:left="180"/>
              <w:spacing w:after="0"/>
              <w:rPr>
                <w:sz w:val="20"/>
                <w:szCs w:val="20"/>
                <w:color w:val="auto"/>
              </w:rPr>
            </w:pPr>
            <w:r>
              <w:rPr>
                <w:rFonts w:ascii="Arial" w:cs="Arial" w:eastAsia="Arial" w:hAnsi="Arial"/>
                <w:sz w:val="18"/>
                <w:szCs w:val="18"/>
                <w:color w:val="auto"/>
                <w:w w:val="97"/>
              </w:rPr>
              <w:t>and 848,960 shares outstanding, actual;</w:t>
            </w:r>
          </w:p>
        </w:tc>
        <w:tc>
          <w:tcPr>
            <w:tcW w:w="1940" w:type="dxa"/>
            <w:vAlign w:val="bottom"/>
            <w:gridSpan w:val="2"/>
          </w:tcPr>
          <w:p>
            <w:pPr>
              <w:ind w:left="320"/>
              <w:spacing w:after="0"/>
              <w:rPr>
                <w:sz w:val="20"/>
                <w:szCs w:val="20"/>
                <w:color w:val="auto"/>
              </w:rPr>
            </w:pPr>
            <w:r>
              <w:rPr>
                <w:rFonts w:ascii="Arial" w:cs="Arial" w:eastAsia="Arial" w:hAnsi="Arial"/>
                <w:sz w:val="18"/>
                <w:szCs w:val="18"/>
                <w:color w:val="auto"/>
              </w:rPr>
              <w:t>shares authorized,</w:t>
            </w:r>
          </w:p>
        </w:tc>
        <w:tc>
          <w:tcPr>
            <w:tcW w:w="2480" w:type="dxa"/>
            <w:vAlign w:val="bottom"/>
            <w:gridSpan w:val="3"/>
          </w:tcPr>
          <w:p>
            <w:pPr>
              <w:jc w:val="right"/>
              <w:ind w:right="920"/>
              <w:spacing w:after="0"/>
              <w:rPr>
                <w:sz w:val="20"/>
                <w:szCs w:val="20"/>
                <w:color w:val="auto"/>
              </w:rPr>
            </w:pPr>
            <w:r>
              <w:rPr>
                <w:rFonts w:ascii="Arial" w:cs="Arial" w:eastAsia="Arial" w:hAnsi="Arial"/>
                <w:sz w:val="18"/>
                <w:szCs w:val="18"/>
                <w:color w:val="auto"/>
              </w:rPr>
              <w:t>shares issued and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outstanding, pro forma;</w:t>
            </w:r>
          </w:p>
        </w:tc>
        <w:tc>
          <w:tcPr>
            <w:tcW w:w="1740" w:type="dxa"/>
            <w:vAlign w:val="bottom"/>
            <w:gridSpan w:val="2"/>
          </w:tcPr>
          <w:p>
            <w:pPr>
              <w:ind w:left="160"/>
              <w:spacing w:after="0"/>
              <w:rPr>
                <w:sz w:val="20"/>
                <w:szCs w:val="20"/>
                <w:color w:val="auto"/>
              </w:rPr>
            </w:pPr>
            <w:r>
              <w:rPr>
                <w:rFonts w:ascii="Arial" w:cs="Arial" w:eastAsia="Arial" w:hAnsi="Arial"/>
                <w:sz w:val="18"/>
                <w:szCs w:val="18"/>
                <w:color w:val="auto"/>
              </w:rPr>
              <w:t>shares authorized,</w:t>
            </w:r>
          </w:p>
        </w:tc>
        <w:tc>
          <w:tcPr>
            <w:tcW w:w="3700" w:type="dxa"/>
            <w:vAlign w:val="bottom"/>
            <w:gridSpan w:val="4"/>
          </w:tcPr>
          <w:p>
            <w:pPr>
              <w:jc w:val="right"/>
              <w:ind w:right="460"/>
              <w:spacing w:after="0"/>
              <w:rPr>
                <w:sz w:val="20"/>
                <w:szCs w:val="20"/>
                <w:color w:val="auto"/>
              </w:rPr>
            </w:pPr>
            <w:r>
              <w:rPr>
                <w:rFonts w:ascii="Arial" w:cs="Arial" w:eastAsia="Arial" w:hAnsi="Arial"/>
                <w:sz w:val="18"/>
                <w:szCs w:val="18"/>
                <w:color w:val="auto"/>
                <w:w w:val="97"/>
              </w:rPr>
              <w:t>shares issued and outstanding, pro forma</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as adjusted</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7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stock, $0.0001 par value; 6,223,046 shares authorized; 6,223,046</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w w:val="96"/>
              </w:rPr>
              <w:t>shares issued and outstanding, actual; no shares authorized, issued or outstanding, pro forma and</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10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51,146</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40" w:type="dxa"/>
            <w:vAlign w:val="bottom"/>
            <w:gridSpan w:val="8"/>
          </w:tcPr>
          <w:p>
            <w:pPr>
              <w:spacing w:after="0" w:line="201" w:lineRule="exact"/>
              <w:rPr>
                <w:sz w:val="20"/>
                <w:szCs w:val="20"/>
                <w:color w:val="auto"/>
              </w:rPr>
            </w:pPr>
            <w:r>
              <w:rPr>
                <w:rFonts w:ascii="Arial" w:cs="Arial" w:eastAsia="Arial" w:hAnsi="Arial"/>
                <w:sz w:val="18"/>
                <w:szCs w:val="18"/>
                <w:color w:val="auto"/>
              </w:rPr>
              <w:t>Series B convertible preferred stock, $0.0001 par value; 3,874,793 authorized; 3,874,793 shares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gridSpan w:val="8"/>
          </w:tcPr>
          <w:p>
            <w:pPr>
              <w:ind w:left="180"/>
              <w:spacing w:after="0"/>
              <w:rPr>
                <w:sz w:val="20"/>
                <w:szCs w:val="20"/>
                <w:color w:val="auto"/>
              </w:rPr>
            </w:pPr>
            <w:r>
              <w:rPr>
                <w:rFonts w:ascii="Arial" w:cs="Arial" w:eastAsia="Arial" w:hAnsi="Arial"/>
                <w:sz w:val="18"/>
                <w:szCs w:val="18"/>
                <w:color w:val="auto"/>
                <w:w w:val="99"/>
              </w:rPr>
              <w:t>issued and outstanding, actual; no shares authorized, issued or outstanding, pro forma and pro</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forma as adjusted</w:t>
            </w: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106,128</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(18,286)</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3"/>
          </w:tcPr>
          <w:p>
            <w:pPr>
              <w:spacing w:after="0"/>
              <w:rPr>
                <w:sz w:val="20"/>
                <w:szCs w:val="20"/>
                <w:color w:val="auto"/>
              </w:rPr>
            </w:pPr>
            <w:r>
              <w:rPr>
                <w:rFonts w:ascii="Arial" w:cs="Arial" w:eastAsia="Arial" w:hAnsi="Arial"/>
                <w:sz w:val="18"/>
                <w:szCs w:val="18"/>
                <w:color w:val="auto"/>
              </w:rPr>
              <w:t>Total stockholders’ (deficit) equity</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(17,522)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139,752</w:t>
            </w:r>
          </w:p>
        </w:tc>
        <w:tc>
          <w:tcPr>
            <w:tcW w:w="11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360" w:type="dxa"/>
            <w:vAlign w:val="bottom"/>
            <w:gridSpan w:val="5"/>
          </w:tcPr>
          <w:p>
            <w:pPr>
              <w:spacing w:after="0"/>
              <w:rPr>
                <w:sz w:val="11"/>
                <w:szCs w:val="11"/>
                <w:color w:val="auto"/>
              </w:rPr>
            </w:pPr>
          </w:p>
        </w:tc>
        <w:tc>
          <w:tcPr>
            <w:tcW w:w="444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580" w:type="dxa"/>
            <w:vAlign w:val="bottom"/>
            <w:gridSpan w:val="6"/>
          </w:tcPr>
          <w:p>
            <w:pPr>
              <w:spacing w:after="0"/>
              <w:rPr>
                <w:sz w:val="20"/>
                <w:szCs w:val="20"/>
                <w:color w:val="auto"/>
              </w:rPr>
            </w:pPr>
            <w:r>
              <w:rPr>
                <w:rFonts w:ascii="Arial" w:cs="Arial" w:eastAsia="Arial" w:hAnsi="Arial"/>
                <w:sz w:val="18"/>
                <w:szCs w:val="18"/>
                <w:color w:val="auto"/>
                <w:w w:val="99"/>
              </w:rPr>
              <w:t>(1)   Each $1.00 increase (decrease) in the assumed initial public offering price of $</w:t>
            </w:r>
          </w:p>
        </w:tc>
        <w:tc>
          <w:tcPr>
            <w:tcW w:w="4440" w:type="dxa"/>
            <w:vAlign w:val="bottom"/>
            <w:gridSpan w:val="10"/>
          </w:tcPr>
          <w:p>
            <w:pPr>
              <w:ind w:left="100"/>
              <w:spacing w:after="0"/>
              <w:rPr>
                <w:sz w:val="20"/>
                <w:szCs w:val="20"/>
                <w:color w:val="auto"/>
              </w:rPr>
            </w:pPr>
            <w:r>
              <w:rPr>
                <w:rFonts w:ascii="Arial" w:cs="Arial" w:eastAsia="Arial" w:hAnsi="Arial"/>
                <w:sz w:val="18"/>
                <w:szCs w:val="18"/>
                <w:color w:val="auto"/>
                <w:w w:val="92"/>
              </w:rPr>
              <w:t>per share, which is the midpoint of the price range set forth</w:t>
            </w:r>
          </w:p>
        </w:tc>
        <w:tc>
          <w:tcPr>
            <w:tcW w:w="0" w:type="dxa"/>
            <w:vAlign w:val="bottom"/>
          </w:tcPr>
          <w:p>
            <w:pPr>
              <w:spacing w:after="0"/>
              <w:rPr>
                <w:sz w:val="1"/>
                <w:szCs w:val="1"/>
                <w:color w:val="auto"/>
              </w:rPr>
            </w:pPr>
          </w:p>
        </w:tc>
      </w:tr>
    </w:tbl>
    <w:p>
      <w:pPr>
        <w:ind w:left="540"/>
        <w:spacing w:after="0"/>
        <w:rPr>
          <w:sz w:val="20"/>
          <w:szCs w:val="20"/>
          <w:color w:val="auto"/>
        </w:rPr>
      </w:pPr>
      <w:r>
        <w:rPr>
          <w:rFonts w:ascii="Arial" w:cs="Arial" w:eastAsia="Arial" w:hAnsi="Arial"/>
          <w:sz w:val="16"/>
          <w:szCs w:val="16"/>
          <w:color w:val="auto"/>
        </w:rPr>
        <w:t>on the cover page of this prospectus, would increase (decrease) the pro forma as adjusted amount of each of cash and cash equivalents, additional</w:t>
      </w:r>
    </w:p>
    <w:p>
      <w:pPr>
        <w:spacing w:after="0" w:line="32" w:lineRule="exact"/>
        <w:rPr>
          <w:sz w:val="20"/>
          <w:szCs w:val="20"/>
          <w:color w:val="auto"/>
        </w:rPr>
      </w:pPr>
    </w:p>
    <w:p>
      <w:pPr>
        <w:ind w:left="540" w:right="160"/>
        <w:spacing w:after="0" w:line="253" w:lineRule="auto"/>
        <w:rPr>
          <w:sz w:val="20"/>
          <w:szCs w:val="20"/>
          <w:color w:val="auto"/>
        </w:rPr>
      </w:pPr>
      <w:r>
        <w:rPr>
          <w:rFonts w:ascii="Arial" w:cs="Arial" w:eastAsia="Arial" w:hAnsi="Arial"/>
          <w:sz w:val="18"/>
          <w:szCs w:val="18"/>
          <w:color w:val="auto"/>
        </w:rPr>
        <w:t>paid-in capital, total stockholders’ equity and total capitalization by approximately $ million, assuming that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 1,000,000 share increase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3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519"/>
        </w:trPr>
        <w:tc>
          <w:tcPr>
            <w:tcW w:w="8700" w:type="dxa"/>
            <w:vAlign w:val="bottom"/>
            <w:gridSpan w:val="2"/>
          </w:tcPr>
          <w:p>
            <w:pPr>
              <w:ind w:left="540"/>
              <w:spacing w:after="0"/>
              <w:rPr>
                <w:sz w:val="20"/>
                <w:szCs w:val="20"/>
                <w:color w:val="auto"/>
              </w:rPr>
            </w:pPr>
            <w:r>
              <w:rPr>
                <w:rFonts w:ascii="Arial" w:cs="Arial" w:eastAsia="Arial" w:hAnsi="Arial"/>
                <w:sz w:val="18"/>
                <w:szCs w:val="18"/>
                <w:color w:val="auto"/>
                <w:w w:val="96"/>
              </w:rPr>
              <w:t>(decrease) in the number of shares offered by us at the assumed initial public offering price per share of $</w:t>
            </w:r>
          </w:p>
        </w:tc>
        <w:tc>
          <w:tcPr>
            <w:tcW w:w="2320" w:type="dxa"/>
            <w:vAlign w:val="bottom"/>
          </w:tcPr>
          <w:p>
            <w:pPr>
              <w:ind w:left="20"/>
              <w:spacing w:after="0"/>
              <w:rPr>
                <w:sz w:val="20"/>
                <w:szCs w:val="20"/>
                <w:color w:val="auto"/>
              </w:rPr>
            </w:pPr>
            <w:r>
              <w:rPr>
                <w:rFonts w:ascii="Arial" w:cs="Arial" w:eastAsia="Arial" w:hAnsi="Arial"/>
                <w:sz w:val="18"/>
                <w:szCs w:val="18"/>
                <w:color w:val="auto"/>
                <w:w w:val="90"/>
              </w:rPr>
              <w:t>per share, which is the midpoint</w:t>
            </w:r>
          </w:p>
        </w:tc>
      </w:tr>
      <w:tr>
        <w:trPr>
          <w:trHeight w:val="216"/>
        </w:trPr>
        <w:tc>
          <w:tcPr>
            <w:tcW w:w="11020" w:type="dxa"/>
            <w:vAlign w:val="bottom"/>
            <w:gridSpan w:val="3"/>
          </w:tcPr>
          <w:p>
            <w:pPr>
              <w:ind w:left="540"/>
              <w:spacing w:after="0"/>
              <w:rPr>
                <w:sz w:val="20"/>
                <w:szCs w:val="20"/>
                <w:color w:val="auto"/>
              </w:rPr>
            </w:pPr>
            <w:r>
              <w:rPr>
                <w:rFonts w:ascii="Arial" w:cs="Arial" w:eastAsia="Arial" w:hAnsi="Arial"/>
                <w:sz w:val="18"/>
                <w:szCs w:val="18"/>
                <w:color w:val="auto"/>
                <w:w w:val="89"/>
              </w:rPr>
              <w:t>of the price range set forth on the cover page of this prospectus, would increase (decrease) the pro forma as adjusted amount of each of cash and</w:t>
            </w:r>
          </w:p>
        </w:tc>
      </w:tr>
      <w:tr>
        <w:trPr>
          <w:trHeight w:val="216"/>
        </w:trPr>
        <w:tc>
          <w:tcPr>
            <w:tcW w:w="8700" w:type="dxa"/>
            <w:vAlign w:val="bottom"/>
            <w:gridSpan w:val="2"/>
          </w:tcPr>
          <w:p>
            <w:pPr>
              <w:ind w:left="540"/>
              <w:spacing w:after="0"/>
              <w:rPr>
                <w:sz w:val="20"/>
                <w:szCs w:val="20"/>
                <w:color w:val="auto"/>
              </w:rPr>
            </w:pPr>
            <w:r>
              <w:rPr>
                <w:rFonts w:ascii="Arial" w:cs="Arial" w:eastAsia="Arial" w:hAnsi="Arial"/>
                <w:sz w:val="18"/>
                <w:szCs w:val="18"/>
                <w:color w:val="auto"/>
                <w:w w:val="92"/>
              </w:rPr>
              <w:t>cash equivalents, additional paid-in capital, total stockholders’ equity and total capitalization by approximately $</w:t>
            </w:r>
          </w:p>
        </w:tc>
        <w:tc>
          <w:tcPr>
            <w:tcW w:w="2320" w:type="dxa"/>
            <w:vAlign w:val="bottom"/>
          </w:tcPr>
          <w:p>
            <w:pPr>
              <w:ind w:left="560"/>
              <w:spacing w:after="0"/>
              <w:rPr>
                <w:sz w:val="20"/>
                <w:szCs w:val="20"/>
                <w:color w:val="auto"/>
              </w:rPr>
            </w:pPr>
            <w:r>
              <w:rPr>
                <w:rFonts w:ascii="Arial" w:cs="Arial" w:eastAsia="Arial" w:hAnsi="Arial"/>
                <w:sz w:val="18"/>
                <w:szCs w:val="18"/>
                <w:color w:val="auto"/>
                <w:w w:val="96"/>
              </w:rPr>
              <w:t>million, after deducting</w:t>
            </w:r>
          </w:p>
        </w:tc>
      </w:tr>
      <w:tr>
        <w:trPr>
          <w:trHeight w:val="230"/>
        </w:trPr>
        <w:tc>
          <w:tcPr>
            <w:tcW w:w="8700" w:type="dxa"/>
            <w:vAlign w:val="bottom"/>
            <w:gridSpan w:val="2"/>
          </w:tcPr>
          <w:p>
            <w:pPr>
              <w:ind w:left="540"/>
              <w:spacing w:after="0"/>
              <w:rPr>
                <w:sz w:val="20"/>
                <w:szCs w:val="20"/>
                <w:color w:val="auto"/>
              </w:rPr>
            </w:pPr>
            <w:r>
              <w:rPr>
                <w:rFonts w:ascii="Arial" w:cs="Arial" w:eastAsia="Arial" w:hAnsi="Arial"/>
                <w:sz w:val="18"/>
                <w:szCs w:val="18"/>
                <w:color w:val="auto"/>
              </w:rPr>
              <w:t>estimated underwriting discounts and commissions and estimated offering expenses payable by us.</w:t>
            </w:r>
          </w:p>
        </w:tc>
        <w:tc>
          <w:tcPr>
            <w:tcW w:w="23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220" w:firstLine="881"/>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pro forma and pro forma as adjusted reflected in the table above excludes:</w:t>
      </w:r>
    </w:p>
    <w:p>
      <w:pPr>
        <w:spacing w:after="0" w:line="197" w:lineRule="exact"/>
        <w:rPr>
          <w:sz w:val="20"/>
          <w:szCs w:val="20"/>
          <w:color w:val="auto"/>
        </w:rPr>
      </w:pPr>
    </w:p>
    <w:p>
      <w:pPr>
        <w:ind w:left="1420" w:right="20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865,032 shares of common stock issuable upon the exercise of stock options outstanding as of March 31, 2021 under the 2020 Plan, with a weighted-average exercise price of $4.87 per share;</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132,746 shares of common stock issuable upon the exercise of stock options granted after March 31, 2021 under our 2020 Plan, with a weighted-average exercise price of $24.34 per share;</w:t>
      </w:r>
    </w:p>
    <w:p>
      <w:pPr>
        <w:spacing w:after="0" w:line="197" w:lineRule="exact"/>
        <w:rPr>
          <w:rFonts w:ascii="Arial" w:cs="Arial" w:eastAsia="Arial" w:hAnsi="Arial"/>
          <w:sz w:val="18"/>
          <w:szCs w:val="18"/>
          <w:color w:val="auto"/>
        </w:rPr>
      </w:pPr>
    </w:p>
    <w:p>
      <w:pPr>
        <w:ind w:left="2020" w:hanging="919"/>
        <w:spacing w:after="0"/>
        <w:tabs>
          <w:tab w:leader="none" w:pos="2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the 2021 Plan, will become effective on the day prior to the public</w:t>
      </w:r>
    </w:p>
    <w:p>
      <w:pPr>
        <w:spacing w:after="0" w:line="46" w:lineRule="exact"/>
        <w:rPr>
          <w:sz w:val="20"/>
          <w:szCs w:val="20"/>
          <w:color w:val="auto"/>
        </w:rPr>
      </w:pPr>
    </w:p>
    <w:p>
      <w:pPr>
        <w:ind w:left="1420" w:right="320"/>
        <w:spacing w:after="0" w:line="323" w:lineRule="auto"/>
        <w:rPr>
          <w:sz w:val="20"/>
          <w:szCs w:val="20"/>
          <w:color w:val="auto"/>
        </w:rPr>
      </w:pPr>
      <w:r>
        <w:rPr>
          <w:rFonts w:ascii="Arial" w:cs="Arial" w:eastAsia="Arial" w:hAnsi="Arial"/>
          <w:sz w:val="16"/>
          <w:szCs w:val="16"/>
          <w:color w:val="auto"/>
        </w:rPr>
        <w:t>trading date of our common stock (including shares of common stock reserved for future grant or issuance under our 2020 Plan as of March 31, 2021, which shares will be added to the shares reserved under the 2021 Plan upon its effectiveness); and</w:t>
      </w:r>
    </w:p>
    <w:p>
      <w:pPr>
        <w:spacing w:after="0" w:line="165" w:lineRule="exact"/>
        <w:rPr>
          <w:sz w:val="20"/>
          <w:szCs w:val="20"/>
          <w:color w:val="auto"/>
        </w:rPr>
      </w:pPr>
    </w:p>
    <w:p>
      <w:pPr>
        <w:ind w:left="1420" w:right="160" w:hanging="319"/>
        <w:spacing w:after="0" w:line="263" w:lineRule="auto"/>
        <w:tabs>
          <w:tab w:leader="none" w:pos="20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ESPP, as well as any annual automatic increases in the number of shares of our common stock reserved for future issuance under the ESPP, which will become effective in connection with the completion of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46"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184"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Our historical net tangible book value (deficit) was $(17.5) million as of March 31, 2021, or $(11.60) per share of our common stock, based on 1,510,292 shares of common stock outstanding as of such date, including 661,332 shares of unvested restricted common stock. Our historical net tangible book value (deficit) per share represents the amount of our total tangible assets less total liabilities and convertible preferred stock, which is not included in our stockholders deficit, divided by the total number of shares of common stock outstanding at March 31, 2021.</w:t>
      </w:r>
    </w:p>
    <w:p>
      <w:pPr>
        <w:spacing w:after="0" w:line="15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On a pro forma basis after giving effect to the automatic conversion of all outstanding shares of convertible preferred stock into an aggregate of 10,097,839 shares of our common stock and the related reclassification of the carrying value of the convertible preferred stock to permanent equity immediately prior to the completion of this offering, and assuming this conversion had occurred on March 31, 2021, our pro forma net</w:t>
      </w:r>
    </w:p>
    <w:p>
      <w:pPr>
        <w:spacing w:after="0" w:line="2" w:lineRule="exact"/>
        <w:rPr>
          <w:sz w:val="20"/>
          <w:szCs w:val="20"/>
          <w:color w:val="auto"/>
        </w:rPr>
      </w:pPr>
    </w:p>
    <w:p>
      <w:pPr>
        <w:ind w:left="120"/>
        <w:spacing w:after="0"/>
        <w:tabs>
          <w:tab w:leader="none" w:pos="6160" w:val="left"/>
          <w:tab w:leader="none" w:pos="8720" w:val="left"/>
        </w:tabs>
        <w:rPr>
          <w:sz w:val="20"/>
          <w:szCs w:val="20"/>
          <w:color w:val="auto"/>
        </w:rPr>
      </w:pPr>
      <w:r>
        <w:rPr>
          <w:rFonts w:ascii="Arial" w:cs="Arial" w:eastAsia="Arial" w:hAnsi="Arial"/>
          <w:sz w:val="18"/>
          <w:szCs w:val="18"/>
          <w:color w:val="auto"/>
        </w:rPr>
        <w:t>tangible book value as of March 31, 2021 would have been 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per share of our common stock.</w:t>
      </w:r>
    </w:p>
    <w:p>
      <w:pPr>
        <w:spacing w:after="0" w:line="211" w:lineRule="exact"/>
        <w:rPr>
          <w:sz w:val="20"/>
          <w:szCs w:val="20"/>
          <w:color w:val="auto"/>
        </w:rPr>
      </w:pPr>
    </w:p>
    <w:p>
      <w:pPr>
        <w:ind w:left="1000"/>
        <w:spacing w:after="0"/>
        <w:tabs>
          <w:tab w:leader="none" w:pos="444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6"/>
          <w:szCs w:val="16"/>
          <w:color w:val="auto"/>
        </w:rPr>
        <w:t>shares of our common stock in this offering at the assumed initial public offering price of</w:t>
      </w:r>
    </w:p>
    <w:p>
      <w:pPr>
        <w:spacing w:after="0" w:line="23" w:lineRule="exact"/>
        <w:rPr>
          <w:sz w:val="20"/>
          <w:szCs w:val="20"/>
          <w:color w:val="auto"/>
        </w:rPr>
      </w:pPr>
    </w:p>
    <w:p>
      <w:pPr>
        <w:ind w:left="800" w:hanging="684"/>
        <w:spacing w:after="0"/>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and after deducting the estimated</w:t>
      </w:r>
    </w:p>
    <w:p>
      <w:pPr>
        <w:spacing w:after="0" w:line="20"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underwriting discounts and commissions and estimated offering expenses payable by us, our pro forma as adjusted net tangible book value as of</w:t>
      </w:r>
    </w:p>
    <w:p>
      <w:pPr>
        <w:spacing w:after="0" w:line="222"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March 31, 2021 would have been $ million, or approximately $ per share. This amount represents an immediate increase in pro forma net tangible book value of $ per share to our existing stockholders and an immediate dilution in pro forma net tangible book value of approximately</w:t>
      </w:r>
    </w:p>
    <w:p>
      <w:pPr>
        <w:ind w:left="800" w:hanging="68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 share to new investors participating in this offering.</w:t>
      </w:r>
    </w:p>
    <w:p>
      <w:pPr>
        <w:spacing w:after="0" w:line="211"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assumed initial public offering price per share paid by new investors. The following table illustrates this dilution (without giving effect to any exercise by the underwriters of their option to purchase additional shares):</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2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March 31, 2021</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 (11.60)</w:t>
            </w: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7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Increase per share attributable to the automatic conversion of preferred stock upon the</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completion of this offering</w:t>
            </w:r>
          </w:p>
        </w:tc>
        <w:tc>
          <w:tcPr>
            <w:tcW w:w="5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bl>
    <w:p>
      <w:pPr>
        <w:ind w:left="1280"/>
        <w:spacing w:after="0"/>
        <w:rPr>
          <w:sz w:val="20"/>
          <w:szCs w:val="20"/>
          <w:color w:val="auto"/>
        </w:rPr>
      </w:pPr>
      <w:r>
        <w:rPr>
          <w:rFonts w:ascii="Arial" w:cs="Arial" w:eastAsia="Arial" w:hAnsi="Arial"/>
          <w:sz w:val="18"/>
          <w:szCs w:val="18"/>
          <w:color w:val="auto"/>
        </w:rPr>
        <w:t>Pro forma net tangible book value per share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5974715"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Increase in pro forma as adjusted net tangible book value per share attributable to new</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ind w:left="520"/>
              <w:spacing w:after="0"/>
              <w:rPr>
                <w:sz w:val="20"/>
                <w:szCs w:val="20"/>
                <w:color w:val="auto"/>
              </w:rPr>
            </w:pPr>
            <w:r>
              <w:rPr>
                <w:rFonts w:ascii="Arial" w:cs="Arial" w:eastAsia="Arial" w:hAnsi="Arial"/>
                <w:sz w:val="18"/>
                <w:szCs w:val="18"/>
                <w:color w:val="auto"/>
              </w:rPr>
              <w:t>investors purchasing shares in this offering</w:t>
            </w:r>
          </w:p>
        </w:tc>
        <w:tc>
          <w:tcPr>
            <w:tcW w:w="15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33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160" w:type="dxa"/>
            <w:vAlign w:val="bottom"/>
            <w:gridSpan w:val="6"/>
          </w:tcPr>
          <w:p>
            <w:pPr>
              <w:ind w:left="300"/>
              <w:spacing w:after="0"/>
              <w:rPr>
                <w:sz w:val="20"/>
                <w:szCs w:val="20"/>
                <w:color w:val="auto"/>
              </w:rPr>
            </w:pPr>
            <w:r>
              <w:rPr>
                <w:rFonts w:ascii="Arial" w:cs="Arial" w:eastAsia="Arial" w:hAnsi="Arial"/>
                <w:sz w:val="18"/>
                <w:szCs w:val="18"/>
                <w:color w:val="auto"/>
                <w:w w:val="89"/>
              </w:rPr>
              <w:t>per share, which is the midpoint of the price range set</w:t>
            </w:r>
          </w:p>
        </w:tc>
      </w:tr>
    </w:tbl>
    <w:p>
      <w:pPr>
        <w:ind w:left="120"/>
        <w:spacing w:after="0"/>
        <w:rPr>
          <w:sz w:val="20"/>
          <w:szCs w:val="20"/>
          <w:color w:val="auto"/>
        </w:rPr>
      </w:pPr>
      <w:r>
        <w:rPr>
          <w:rFonts w:ascii="Arial" w:cs="Arial" w:eastAsia="Arial" w:hAnsi="Arial"/>
          <w:sz w:val="16"/>
          <w:szCs w:val="16"/>
          <w:color w:val="auto"/>
        </w:rPr>
        <w:t>forth on the cover page of this prospectus, would increase (decrease) the pro forma as adjusted net tangible book value per share after this offering by</w:t>
      </w:r>
    </w:p>
    <w:p>
      <w:pPr>
        <w:spacing w:after="0" w:line="32"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approximately $ , and dilution in pro forma net tangible book value per share to new investors by approximately $ , assuming that the number of shares offered by us, as set forth on the cover page of this prospectus, remains the same and after deducting the estimated underwriting discounts and commissions and the estimated offering expenses payable by us. We may also increase or decrease the number of shares we are offering. An increase of 1,000,000 shares in the number of shares offered by us, as set forth on the cover page of this prospectus, would increase our pro forma as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519"/>
        </w:trPr>
        <w:tc>
          <w:tcPr>
            <w:tcW w:w="6180" w:type="dxa"/>
            <w:vAlign w:val="bottom"/>
            <w:gridSpan w:val="3"/>
          </w:tcPr>
          <w:p>
            <w:pPr>
              <w:ind w:left="120"/>
              <w:spacing w:after="0"/>
              <w:rPr>
                <w:sz w:val="20"/>
                <w:szCs w:val="20"/>
                <w:color w:val="auto"/>
              </w:rPr>
            </w:pPr>
            <w:r>
              <w:rPr>
                <w:rFonts w:ascii="Arial" w:cs="Arial" w:eastAsia="Arial" w:hAnsi="Arial"/>
                <w:sz w:val="18"/>
                <w:szCs w:val="18"/>
                <w:color w:val="auto"/>
                <w:w w:val="95"/>
              </w:rPr>
              <w:t>adjusted net tangible book value per share after this offering by approximately $</w:t>
            </w:r>
          </w:p>
        </w:tc>
        <w:tc>
          <w:tcPr>
            <w:tcW w:w="4420" w:type="dxa"/>
            <w:vAlign w:val="bottom"/>
          </w:tcPr>
          <w:p>
            <w:pPr>
              <w:ind w:left="300"/>
              <w:spacing w:after="0"/>
              <w:rPr>
                <w:sz w:val="20"/>
                <w:szCs w:val="20"/>
                <w:color w:val="auto"/>
              </w:rPr>
            </w:pPr>
            <w:r>
              <w:rPr>
                <w:rFonts w:ascii="Arial" w:cs="Arial" w:eastAsia="Arial" w:hAnsi="Arial"/>
                <w:sz w:val="18"/>
                <w:szCs w:val="18"/>
                <w:color w:val="auto"/>
                <w:w w:val="90"/>
              </w:rPr>
              <w:t>and decrease the dilution to investors participating in this</w:t>
            </w: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offering by approximately $</w:t>
            </w:r>
          </w:p>
        </w:tc>
        <w:tc>
          <w:tcPr>
            <w:tcW w:w="8180" w:type="dxa"/>
            <w:vAlign w:val="bottom"/>
            <w:gridSpan w:val="2"/>
          </w:tcPr>
          <w:p>
            <w:pPr>
              <w:ind w:left="300"/>
              <w:spacing w:after="0"/>
              <w:rPr>
                <w:sz w:val="20"/>
                <w:szCs w:val="20"/>
                <w:color w:val="auto"/>
              </w:rPr>
            </w:pPr>
            <w:r>
              <w:rPr>
                <w:rFonts w:ascii="Arial" w:cs="Arial" w:eastAsia="Arial" w:hAnsi="Arial"/>
                <w:sz w:val="18"/>
                <w:szCs w:val="18"/>
                <w:color w:val="auto"/>
                <w:w w:val="91"/>
              </w:rPr>
              <w:t>per share, assuming that the assumed initial public offering price remains the same, and after deducting the</w:t>
            </w:r>
          </w:p>
        </w:tc>
      </w:tr>
    </w:tbl>
    <w:p>
      <w:pPr>
        <w:ind w:left="120" w:right="20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estimated underwriting discounts and commissions and the estimated offering expenses payable by us. Similarly, a decrease of 1,000,000 shares in the number of shares offered by us, as set forth on the cover page of this prospectus, would decrease the pro forma as adjusted net tangible book value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280"/>
        <w:spacing w:after="0" w:line="274" w:lineRule="auto"/>
        <w:rPr>
          <w:sz w:val="20"/>
          <w:szCs w:val="20"/>
          <w:color w:val="auto"/>
        </w:rPr>
      </w:pPr>
      <w:r>
        <w:rPr>
          <w:rFonts w:ascii="Arial" w:cs="Arial" w:eastAsia="Arial" w:hAnsi="Arial"/>
          <w:sz w:val="17"/>
          <w:szCs w:val="17"/>
          <w:color w:val="auto"/>
        </w:rPr>
        <w:t>share after this offering by approximately $ and increase the dilution to investors participating in this offering by approximately $ per share, assuming the assumed initial public offering price of $ per share, which is the midpoint of the price range set forth on the cover page of</w:t>
      </w:r>
    </w:p>
    <w:p>
      <w:pPr>
        <w:ind w:left="120" w:right="520"/>
        <w:spacing w:after="0" w:line="260" w:lineRule="auto"/>
        <w:rPr>
          <w:sz w:val="20"/>
          <w:szCs w:val="20"/>
          <w:color w:val="auto"/>
        </w:rPr>
      </w:pPr>
      <w:r>
        <w:rPr>
          <w:rFonts w:ascii="Arial" w:cs="Arial" w:eastAsia="Arial" w:hAnsi="Arial"/>
          <w:sz w:val="18"/>
          <w:szCs w:val="18"/>
          <w:color w:val="auto"/>
        </w:rPr>
        <w:t>this prospectus, remains the same, and after deducting the estimated underwriting discounts and commissions and the estimated offering expenses payable by us.</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If the underwriters exercise their option to purchase up to additional shares of our common stock in full in this offering, the pro forma as</w:t>
      </w:r>
    </w:p>
    <w:p>
      <w:pPr>
        <w:spacing w:after="0" w:line="35" w:lineRule="exact"/>
        <w:rPr>
          <w:sz w:val="20"/>
          <w:szCs w:val="20"/>
          <w:color w:val="auto"/>
        </w:rPr>
      </w:pPr>
    </w:p>
    <w:p>
      <w:pPr>
        <w:ind w:left="120" w:right="20"/>
        <w:spacing w:after="0" w:line="277" w:lineRule="auto"/>
        <w:rPr>
          <w:sz w:val="20"/>
          <w:szCs w:val="20"/>
          <w:color w:val="auto"/>
        </w:rPr>
      </w:pPr>
      <w:r>
        <w:rPr>
          <w:rFonts w:ascii="Arial" w:cs="Arial" w:eastAsia="Arial" w:hAnsi="Arial"/>
          <w:sz w:val="17"/>
          <w:szCs w:val="17"/>
          <w:color w:val="auto"/>
        </w:rPr>
        <w:t>adjusted net tangible book value after the offering would be $ per share, the increase in pro forma as adjusted net tangible book value per share to existing stockholders would be $ per share and the dilution per share to new investors would be $ per share, in each case assuming an initial public offering price of $ per share, which is the midpoint of the price range set forth on the cover page of this prospectus.</w:t>
      </w:r>
    </w:p>
    <w:p>
      <w:pPr>
        <w:spacing w:after="0" w:line="173"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The following table summarizes, on a pro forma as adjusted basis as of March 31, 2021 the number of shares of common stock purchased or to be purchased from us, the total consideration paid or to be paid to us in cash and the average price per share paid by existing stockholders for shares issued prior to this offering and the price to be paid by new investors in this offering. The calculation below is based on the assumed initial public</w:t>
      </w:r>
    </w:p>
    <w:p>
      <w:pPr>
        <w:spacing w:after="0" w:line="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offering price of $ per share, which is the midpoint of the price range set forth on the cover page of this prospectus, before deducting the estimated underwriting discounts and commissions and estimated offering expenses payable by us. As the table below shows, investors participating in this offering will pay an average price per share substantially higher than our existing stockholders paid.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4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8"/>
              </w:rPr>
              <w:t>Shares Purchased</w:t>
            </w:r>
          </w:p>
        </w:tc>
        <w:tc>
          <w:tcPr>
            <w:tcW w:w="4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Consideration</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6640" w:type="dxa"/>
            <w:vAlign w:val="bottom"/>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664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4"/>
                <w:szCs w:val="4"/>
                <w:color w:val="auto"/>
              </w:rPr>
            </w:pPr>
          </w:p>
        </w:tc>
        <w:tc>
          <w:tcPr>
            <w:tcW w:w="90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89"/>
              </w:rPr>
              <w:t>Percent</w:t>
            </w:r>
          </w:p>
        </w:tc>
        <w:tc>
          <w:tcPr>
            <w:tcW w:w="80" w:type="dxa"/>
            <w:vAlign w:val="bottom"/>
          </w:tcPr>
          <w:p>
            <w:pPr>
              <w:spacing w:after="0"/>
              <w:rPr>
                <w:sz w:val="4"/>
                <w:szCs w:val="4"/>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4"/>
                <w:szCs w:val="4"/>
                <w:color w:val="auto"/>
              </w:rPr>
            </w:pPr>
          </w:p>
        </w:tc>
        <w:tc>
          <w:tcPr>
            <w:tcW w:w="78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100.0%</w:t>
            </w:r>
          </w:p>
        </w:tc>
        <w:tc>
          <w:tcPr>
            <w:tcW w:w="82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information presented in the tables and discussions above is based on 1,510,292 shares of our common stock outstanding as of March 31, 2021, including 661,332 shares of unvested restricted common stock outstanding as of that date, gives effect to the automatic conversion of all of our outstanding shares of convertible preferred stock into an aggregate of 10,097,839 shares of our common stock immediately prior to the completion of this offering, and excludes:</w:t>
      </w:r>
    </w:p>
    <w:p>
      <w:pPr>
        <w:spacing w:after="0" w:line="214" w:lineRule="exact"/>
        <w:rPr>
          <w:sz w:val="20"/>
          <w:szCs w:val="20"/>
          <w:color w:val="auto"/>
        </w:rPr>
      </w:pPr>
    </w:p>
    <w:p>
      <w:pPr>
        <w:ind w:left="1420" w:right="22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865,032 shares of common stock issuable upon the exercise of stock options outstanding as of March 31, 2021 under the 2020 Plan, with a weighted-average exercise price of $4.87 per share;</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132,746 shares of common stock issuable upon the exercise of stock options granted after March 31, 2021 under our 2020 Plan, with a weighted-average exercise price of $24.34 per share;</w:t>
      </w:r>
    </w:p>
    <w:p>
      <w:pPr>
        <w:spacing w:after="0" w:line="197" w:lineRule="exact"/>
        <w:rPr>
          <w:rFonts w:ascii="Arial" w:cs="Arial" w:eastAsia="Arial" w:hAnsi="Arial"/>
          <w:sz w:val="18"/>
          <w:szCs w:val="18"/>
          <w:color w:val="auto"/>
        </w:rPr>
      </w:pPr>
    </w:p>
    <w:p>
      <w:pPr>
        <w:ind w:left="2020" w:hanging="919"/>
        <w:spacing w:after="0"/>
        <w:tabs>
          <w:tab w:leader="none" w:pos="2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the 2021 Plan, which will become effective on the day prior to the</w:t>
      </w:r>
    </w:p>
    <w:p>
      <w:pPr>
        <w:spacing w:after="0" w:line="46" w:lineRule="exact"/>
        <w:rPr>
          <w:sz w:val="20"/>
          <w:szCs w:val="20"/>
          <w:color w:val="auto"/>
        </w:rPr>
      </w:pPr>
    </w:p>
    <w:p>
      <w:pPr>
        <w:ind w:left="1420" w:right="240"/>
        <w:spacing w:after="0" w:line="323" w:lineRule="auto"/>
        <w:rPr>
          <w:sz w:val="20"/>
          <w:szCs w:val="20"/>
          <w:color w:val="auto"/>
        </w:rPr>
      </w:pPr>
      <w:r>
        <w:rPr>
          <w:rFonts w:ascii="Arial" w:cs="Arial" w:eastAsia="Arial" w:hAnsi="Arial"/>
          <w:sz w:val="16"/>
          <w:szCs w:val="16"/>
          <w:color w:val="auto"/>
        </w:rPr>
        <w:t>public trading date of our common stock (including shares of common stock reserved for future grant or issuance under our 2020 Plan as of March 31, 2021, which shares will be added to the shares reserved under the 2021 plan upon its effectiveness); and</w:t>
      </w:r>
    </w:p>
    <w:p>
      <w:pPr>
        <w:spacing w:after="0" w:line="165" w:lineRule="exact"/>
        <w:rPr>
          <w:sz w:val="20"/>
          <w:szCs w:val="20"/>
          <w:color w:val="auto"/>
        </w:rPr>
      </w:pPr>
    </w:p>
    <w:p>
      <w:pPr>
        <w:ind w:left="1420" w:right="180" w:hanging="319"/>
        <w:spacing w:after="0" w:line="263" w:lineRule="auto"/>
        <w:tabs>
          <w:tab w:leader="none" w:pos="20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ESPP, as well as any annual automatic increases in the number of shares of our common stock reserved for future issuance under the ESPP, which will become effective in connection with the completion of this offering.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4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See Note 7 to our audited and unaudited financial statements included elsewhere in this prospectus for a discussion of our outstanding restricted common stock.</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may choose to raise additional capital through the sale of equity or convertible debt securities due to market conditions or strategic considerations even if we believe we have sufficient funds for our current or future operating plans. To the extent any options are exercised, or we issue additional shares of common stock or other equity or convertible debt securities in the future, there will be further dilution to investors participating in this offering.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9" w:right="5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have elected to comply with Item 301 of Regulation S-K, as amended February 10, 2021, and are omitting this disclosure in reliance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thereon.</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20"/>
          </w:cols>
          <w:pgMar w:left="320" w:top="459" w:right="7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Please also see the section titled “Special Note Regarding Forward-Looking Statements.”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20" w:firstLine="881"/>
        <w:spacing w:after="0" w:line="283" w:lineRule="auto"/>
        <w:rPr>
          <w:sz w:val="20"/>
          <w:szCs w:val="20"/>
          <w:color w:val="auto"/>
        </w:rPr>
      </w:pPr>
      <w:r>
        <w:rPr>
          <w:rFonts w:ascii="Arial" w:cs="Arial" w:eastAsia="Arial" w:hAnsi="Arial"/>
          <w:sz w:val="16"/>
          <w:szCs w:val="16"/>
          <w:color w:val="auto"/>
        </w:rPr>
        <w:t>We are a precision oncology company focused on developing purpose-built therapies to overcome tumor resistance and improve outcomes for patients with cancer. The widespread availability of approved targeted oncology treatments, such as kinase inhibitors, has transformed the cancer treatment landscape. Despite the therapeutic benefit that targeted oncology treatments have created for some patients, the response rate and duration of efficacy is often limited by acquired drug resistance and other shortcomings of existing therapies.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or FGFR, family, which are altered in approximately 7% of all cancers. Our lead product candidate, TYRA-300, is designed to selectively inhibit FGFR3, with an initial focus on patients with bladder cancer. We anticipate filing an Investigational New Drug application, or IND, with the U.S. Food and Drug Administration, or the FDA, for TYRA-300 in</w:t>
      </w:r>
    </w:p>
    <w:p>
      <w:pPr>
        <w:spacing w:after="0" w:line="6" w:lineRule="exact"/>
        <w:rPr>
          <w:sz w:val="20"/>
          <w:szCs w:val="20"/>
          <w:color w:val="auto"/>
        </w:rPr>
      </w:pPr>
    </w:p>
    <w:p>
      <w:pPr>
        <w:ind w:left="120" w:right="300" w:firstLine="896"/>
        <w:spacing w:after="0" w:line="260" w:lineRule="auto"/>
        <w:tabs>
          <w:tab w:leader="none" w:pos="11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addition, we have pipeline development programs targeting FGFR2-related cancers, FGFR3-related achondroplasia and REarranged during Transfection kinase, or RET, and FGFR4-related cancers.</w:t>
      </w:r>
    </w:p>
    <w:p>
      <w:pPr>
        <w:spacing w:after="0" w:line="18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We commenced our operations in 2018 and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From our inception through March 31, 2021, we have raised aggregate gross proceeds of $157.2 million to fund our operations, comprised primarily from our private placements of our convertible preferred stock and issuance of Simple Agreement for Future Equity, or SAFEs. As of March 31, 2021, we had cash and cash equivalents of $140.6 million.</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have incurred significant operating losses since inception. Our net losses for the years ended December 31, 2019 and 2020 were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$4.1 million and $9.3 million, respectively. Our net losses for the three months ended March 31, 2020 and 2021 were $1.5 million and $4.2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respectively. As of March 31, 2021, we had an accumulated deficit of $18.3 million. Our net losses may fluctuate significantly from quarter-to-quarter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year-to-year, depending on the timing of our clinical development activities, other research and development activities and capital expenditures.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 to continue to incur significant expenses and increasing operating losses for the foreseeable future particularly if and as we conduct preclinical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studies and planned clinical trials, continue our research and development activities, utilize third parties to manufacture our product candidates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raw materials, hire additional personnel, expand and protect our intellectual property, and incur additional costs associated with being a public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Based on our current operating plan, we believe that our existing cash and cash equivalents, together with the estimated net proceeds from this offering, will be sufficient to fund our operating expenses and capital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3200" w:val="left"/>
        </w:tabs>
        <w:rPr>
          <w:sz w:val="20"/>
          <w:szCs w:val="20"/>
          <w:color w:val="auto"/>
        </w:rPr>
      </w:pPr>
      <w:r>
        <w:rPr>
          <w:rFonts w:ascii="Arial" w:cs="Arial" w:eastAsia="Arial" w:hAnsi="Arial"/>
          <w:sz w:val="18"/>
          <w:szCs w:val="18"/>
          <w:color w:val="auto"/>
        </w:rPr>
        <w:t>expenditures through at least the next</w:t>
      </w:r>
      <w:r>
        <w:rPr>
          <w:sz w:val="20"/>
          <w:szCs w:val="20"/>
          <w:color w:val="auto"/>
        </w:rPr>
        <w:tab/>
      </w:r>
      <w:r>
        <w:rPr>
          <w:rFonts w:ascii="Arial" w:cs="Arial" w:eastAsia="Arial" w:hAnsi="Arial"/>
          <w:sz w:val="15"/>
          <w:szCs w:val="15"/>
          <w:color w:val="auto"/>
        </w:rPr>
        <w:t>months. We have never generated any revenue and do not expect to generate any revenues from product sales</w:t>
      </w:r>
    </w:p>
    <w:p>
      <w:pPr>
        <w:spacing w:after="0" w:line="23"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global COVID-19 pandemic continues to evolve, and we will continue to monitor the COVID-19 situation closely. The extent of the impact of the COVID-19 pandemic on our business, operations and development timelines and plans remains uncertain, and will depend on certain developments, including the duration and spread of the pandemic and its impact on our development activities, contract research organizations, or CROs, third-party manufacturers and other third parties with whom we do business, as well as its impact on regulatory authorities and our key scientific and management personnel.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20" w:right="320" w:firstLine="881"/>
        <w:spacing w:after="0" w:line="308" w:lineRule="auto"/>
        <w:rPr>
          <w:sz w:val="20"/>
          <w:szCs w:val="20"/>
          <w:color w:val="auto"/>
        </w:rPr>
      </w:pPr>
      <w:r>
        <w:rPr>
          <w:rFonts w:ascii="Arial" w:cs="Arial" w:eastAsia="Arial" w:hAnsi="Arial"/>
          <w:sz w:val="17"/>
          <w:szCs w:val="17"/>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73" w:lineRule="exact"/>
        <w:rPr>
          <w:sz w:val="20"/>
          <w:szCs w:val="20"/>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 costs, including:</w:t>
      </w:r>
    </w:p>
    <w:p>
      <w:pPr>
        <w:spacing w:after="0" w:line="252" w:lineRule="exact"/>
        <w:rPr>
          <w:rFonts w:ascii="Arial" w:cs="Arial" w:eastAsia="Arial" w:hAnsi="Arial"/>
          <w:sz w:val="18"/>
          <w:szCs w:val="18"/>
          <w:color w:val="auto"/>
        </w:rPr>
      </w:pPr>
    </w:p>
    <w:p>
      <w:pPr>
        <w:ind w:left="1740" w:right="500" w:hanging="315"/>
        <w:spacing w:after="0" w:line="277" w:lineRule="auto"/>
        <w:tabs>
          <w:tab w:leader="none" w:pos="1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product candidates, including under agreements with third parties, such as consultants and CROs;</w:t>
      </w:r>
    </w:p>
    <w:p>
      <w:pPr>
        <w:spacing w:after="0" w:line="197" w:lineRule="exact"/>
        <w:rPr>
          <w:rFonts w:ascii="Arial" w:cs="Arial" w:eastAsia="Arial" w:hAnsi="Arial"/>
          <w:sz w:val="18"/>
          <w:szCs w:val="18"/>
          <w:color w:val="auto"/>
        </w:rPr>
      </w:pPr>
    </w:p>
    <w:p>
      <w:pPr>
        <w:ind w:left="1740" w:hanging="315"/>
        <w:spacing w:after="0"/>
        <w:tabs>
          <w:tab w:leader="none" w:pos="17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costs associated with consultants for chemistry, manufacturing and controls, or CMC development, and other services;</w:t>
      </w:r>
    </w:p>
    <w:p>
      <w:pPr>
        <w:spacing w:after="0" w:line="263" w:lineRule="exact"/>
        <w:rPr>
          <w:rFonts w:ascii="Arial" w:cs="Arial" w:eastAsia="Arial" w:hAnsi="Arial"/>
          <w:sz w:val="17"/>
          <w:szCs w:val="17"/>
          <w:color w:val="auto"/>
        </w:rPr>
      </w:pPr>
    </w:p>
    <w:p>
      <w:pPr>
        <w:ind w:left="1740" w:right="320" w:hanging="315"/>
        <w:spacing w:after="0" w:line="277" w:lineRule="auto"/>
        <w:tabs>
          <w:tab w:leader="none" w:pos="1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cost of manufacturing compounds for use in our preclinical studies, including under agreements with third parties, such as consultants and third-party manufacturers;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252" w:lineRule="exact"/>
        <w:rPr>
          <w:rFonts w:ascii="Arial" w:cs="Arial" w:eastAsia="Arial" w:hAnsi="Arial"/>
          <w:sz w:val="18"/>
          <w:szCs w:val="18"/>
          <w:color w:val="auto"/>
        </w:rPr>
      </w:pPr>
    </w:p>
    <w:p>
      <w:pPr>
        <w:ind w:left="1740" w:right="380" w:hanging="315"/>
        <w:spacing w:after="0" w:line="277" w:lineRule="auto"/>
        <w:tabs>
          <w:tab w:leader="none" w:pos="1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197" w:lineRule="exact"/>
        <w:rPr>
          <w:rFonts w:ascii="Arial" w:cs="Arial" w:eastAsia="Arial" w:hAnsi="Arial"/>
          <w:sz w:val="18"/>
          <w:szCs w:val="18"/>
          <w:color w:val="auto"/>
        </w:rPr>
      </w:pPr>
    </w:p>
    <w:p>
      <w:pPr>
        <w:ind w:left="1740" w:hanging="315"/>
        <w:spacing w:after="0"/>
        <w:tabs>
          <w:tab w:leader="none" w:pos="1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252" w:lineRule="exact"/>
        <w:rPr>
          <w:rFonts w:ascii="Arial" w:cs="Arial" w:eastAsia="Arial" w:hAnsi="Arial"/>
          <w:sz w:val="18"/>
          <w:szCs w:val="18"/>
          <w:color w:val="auto"/>
        </w:rPr>
      </w:pPr>
    </w:p>
    <w:p>
      <w:pPr>
        <w:ind w:left="5540" w:right="140" w:hanging="4115"/>
        <w:spacing w:after="0" w:line="449" w:lineRule="auto"/>
        <w:tabs>
          <w:tab w:leader="none" w:pos="17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allocated expenses for rent and maintenance of facilities, and supplies. 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88" w:lineRule="exact"/>
        <w:rPr>
          <w:sz w:val="20"/>
          <w:szCs w:val="20"/>
          <w:color w:val="auto"/>
        </w:rPr>
      </w:pPr>
    </w:p>
    <w:p>
      <w:pPr>
        <w:ind w:left="120" w:right="200" w:firstLine="881"/>
        <w:spacing w:after="0" w:line="291" w:lineRule="auto"/>
        <w:rPr>
          <w:sz w:val="20"/>
          <w:szCs w:val="20"/>
          <w:color w:val="auto"/>
        </w:rPr>
      </w:pPr>
      <w:r>
        <w:rPr>
          <w:rFonts w:ascii="Arial" w:cs="Arial" w:eastAsia="Arial" w:hAnsi="Arial"/>
          <w:sz w:val="16"/>
          <w:szCs w:val="16"/>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future research and development expenses may vary significantly based on a wide variety of factors such as:</w:t>
      </w:r>
    </w:p>
    <w:p>
      <w:pPr>
        <w:spacing w:after="0" w:line="252" w:lineRule="exact"/>
        <w:rPr>
          <w:sz w:val="20"/>
          <w:szCs w:val="20"/>
          <w:color w:val="auto"/>
        </w:rPr>
      </w:pPr>
    </w:p>
    <w:p>
      <w:pPr>
        <w:ind w:left="1420" w:hanging="319"/>
        <w:spacing w:after="0"/>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number and scope, rate of progress, expense and results of our discovery and preclinical development activities and clinical trials;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timing, receipt, and terms of any approvals from applicable regulatory authorities including the FDA and non-U.S. regulators;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in light of the COVID-19 pandemic environment;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Securities and Exchange Commission, or the SEC, requirements, director and officer insurance costs, and investor and public relations costs.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SAFEs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issued SAFEs in 2018 and 2019 for which we have elected to account for using the fair value option. We adjust the carrying value of our SAFEs to their estimated fair value at each reporting date, with any change in fair value of the SAFE recorded as an increase or decrease to change in fair value of simple agreement for future equity in our statement of operations and comprehensive loss.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10"/>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8"/>
          </w:tcPr>
          <w:p>
            <w:pPr>
              <w:jc w:val="center"/>
              <w:ind w:right="7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2020</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$ 3,522</w:t>
            </w:r>
          </w:p>
        </w:tc>
        <w:tc>
          <w:tcPr>
            <w:tcW w:w="2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$ 2,529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1,456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4,211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7"/>
              </w:rPr>
              <w:t>(1,456)</w:t>
            </w: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(4,211)</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(expense) income: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Change in fair value of simple agreement for future equity</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20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Total other (expense) income:</w:t>
            </w:r>
          </w:p>
        </w:tc>
        <w:tc>
          <w:tcPr>
            <w:tcW w:w="1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7"/>
              </w:rPr>
              <w:t>(1,474)</w:t>
            </w: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(4,209)</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Research and development expenses were $1.0 million and $3.5 million for the three months ended March 31, 2020 and 2021, respectively. The increase of $2.5 million was primarily due to additional spend to support the advancement of our TYRA-300 and other development programs, including preclinical studies and chemistry. Further, we incurred $0.6 million higher personnel-related costs in the first three months ended 2021 as compared to 2020, as we expanded the number of research and development employees to support our programs.</w:t>
      </w:r>
    </w:p>
    <w:p>
      <w:pPr>
        <w:spacing w:after="0" w:line="171"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following table summarizes our research and development expenses by development program for the three months ended March 31, 2020 and 2021 (in thousands):</w:t>
      </w:r>
    </w:p>
    <w:p>
      <w:pPr>
        <w:spacing w:after="0" w:line="176"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5"/>
              </w:rPr>
              <w:t>Ended March 31,</w:t>
            </w:r>
          </w:p>
        </w:tc>
        <w:tc>
          <w:tcPr>
            <w:tcW w:w="220" w:type="dxa"/>
            <w:vAlign w:val="bottom"/>
            <w:gridSpan w:val="3"/>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5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3"/>
              </w:rPr>
              <w:t>(unaudited)</w:t>
            </w:r>
          </w:p>
        </w:tc>
        <w:tc>
          <w:tcPr>
            <w:tcW w:w="300" w:type="dxa"/>
            <w:vAlign w:val="bottom"/>
            <w:tcBorders>
              <w:top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 by program</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TYRA-300</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$492</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lead programs</w:t>
            </w:r>
          </w:p>
        </w:tc>
        <w:tc>
          <w:tcPr>
            <w:tcW w:w="1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Unallocated research and development expense</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research and development</w:t>
            </w:r>
          </w:p>
        </w:tc>
        <w:tc>
          <w:tcPr>
            <w:tcW w:w="1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Compensation and stock-based compensation</w:t>
            </w:r>
          </w:p>
        </w:tc>
        <w:tc>
          <w:tcPr>
            <w:tcW w:w="1220" w:type="dxa"/>
            <w:vAlign w:val="bottom"/>
          </w:tcPr>
          <w:p>
            <w:pPr>
              <w:spacing w:after="0"/>
              <w:rPr>
                <w:sz w:val="19"/>
                <w:szCs w:val="19"/>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333</w:t>
            </w:r>
          </w:p>
        </w:tc>
        <w:tc>
          <w:tcPr>
            <w:tcW w:w="520" w:type="dxa"/>
            <w:vAlign w:val="bottom"/>
          </w:tcPr>
          <w:p>
            <w:pPr>
              <w:spacing w:after="0"/>
              <w:rPr>
                <w:sz w:val="19"/>
                <w:szCs w:val="19"/>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6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General and administrative expenses were $0.5 million and $0.7 million for the three months ended March 31, 2020 and 2021, respectively. The increase of $0.2 million was primarily due to an increase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60"/>
          </w:cols>
          <w:pgMar w:left="32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$0.2 million in professional services related to corporate and intellectual property legal fees, accounting and other consulting fees.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0"/>
              </w:rPr>
              <w:t>2020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120" w:type="dxa"/>
            <w:vAlign w:val="bottom"/>
            <w:gridSpan w:val="5"/>
          </w:tcPr>
          <w:p>
            <w:pPr>
              <w:jc w:val="right"/>
              <w:spacing w:after="0"/>
              <w:rPr>
                <w:sz w:val="20"/>
                <w:szCs w:val="20"/>
                <w:color w:val="auto"/>
              </w:rPr>
            </w:pPr>
            <w:r>
              <w:rPr>
                <w:rFonts w:ascii="Arial" w:cs="Arial" w:eastAsia="Arial" w:hAnsi="Arial"/>
                <w:sz w:val="18"/>
                <w:szCs w:val="18"/>
                <w:color w:val="auto"/>
              </w:rPr>
              <w:t>$ 1,790</w:t>
            </w:r>
          </w:p>
        </w:tc>
        <w:tc>
          <w:tcPr>
            <w:tcW w:w="26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$ 7,203</w:t>
            </w:r>
          </w:p>
        </w:tc>
        <w:tc>
          <w:tcPr>
            <w:tcW w:w="2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$ 5,413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8"/>
                <w:szCs w:val="18"/>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3,122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9,297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38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(3,122)</w:t>
            </w: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(9,297)</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(6,175)</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expense: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38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Change in fair value of SAFE commitments</w:t>
            </w:r>
          </w:p>
        </w:tc>
        <w:tc>
          <w:tcPr>
            <w:tcW w:w="2380" w:type="dxa"/>
            <w:vAlign w:val="bottom"/>
            <w:gridSpan w:val="6"/>
          </w:tcPr>
          <w:p>
            <w:pPr>
              <w:jc w:val="right"/>
              <w:ind w:right="200"/>
              <w:spacing w:after="0"/>
              <w:rPr>
                <w:sz w:val="20"/>
                <w:szCs w:val="20"/>
                <w:color w:val="auto"/>
              </w:rPr>
            </w:pPr>
            <w:r>
              <w:rPr>
                <w:rFonts w:ascii="Arial" w:cs="Arial" w:eastAsia="Arial" w:hAnsi="Arial"/>
                <w:sz w:val="18"/>
                <w:szCs w:val="18"/>
                <w:color w:val="auto"/>
              </w:rPr>
              <w:t>(934)</w:t>
            </w:r>
          </w:p>
        </w:tc>
        <w:tc>
          <w:tcPr>
            <w:tcW w:w="1040" w:type="dxa"/>
            <w:vAlign w:val="bottom"/>
            <w:gridSpan w:val="6"/>
          </w:tcPr>
          <w:p>
            <w:pPr>
              <w:jc w:val="right"/>
              <w:ind w:right="200"/>
              <w:spacing w:after="0"/>
              <w:rPr>
                <w:sz w:val="20"/>
                <w:szCs w:val="20"/>
                <w:color w:val="auto"/>
              </w:rPr>
            </w:pPr>
            <w:r>
              <w:rPr>
                <w:rFonts w:ascii="Arial" w:cs="Arial" w:eastAsia="Arial" w:hAnsi="Arial"/>
                <w:sz w:val="18"/>
                <w:szCs w:val="18"/>
                <w:color w:val="auto"/>
              </w:rPr>
              <w:t>(15)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expenses</w:t>
            </w:r>
          </w:p>
        </w:tc>
        <w:tc>
          <w:tcPr>
            <w:tcW w:w="238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1560" w:type="dxa"/>
            <w:vAlign w:val="bottom"/>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38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(4,065)</w:t>
            </w: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(9,336)</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(5,271)</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Research and development expenses were $1.8 million and $7.2 million for the years ended December 31, 2019 and 2020, respectively. The increase of $5.4 million was primarily due to additional spend to support the advancement of our TYRA-300 and other development programs in 2020, including preclinical studies and chemistry. Further, we incurred $1.4 million higher personnel-related costs in 2020 as compared to 2019, as we expanded the number of research and development employees to support our programs, including an additional $0.1 million of non-cash stock-based compensation costs.</w:t>
      </w:r>
    </w:p>
    <w:p>
      <w:pPr>
        <w:spacing w:after="0" w:line="188"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our research and development expenses by development program for the years ended December 31, 2019 and 2020 (in thousands):</w:t>
      </w:r>
    </w:p>
    <w:p>
      <w:pPr>
        <w:spacing w:after="0" w:line="189"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Year Ended</w:t>
      </w:r>
    </w:p>
    <w:p>
      <w:pPr>
        <w:jc w:val="center"/>
        <w:ind w:left="6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1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3"/>
          </w:tcPr>
          <w:p>
            <w:pPr>
              <w:jc w:val="right"/>
              <w:ind w:right="20"/>
              <w:spacing w:after="0" w:line="12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 by program</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TYRA-300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$4,189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development programs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Unallocated research and development expense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research and development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1,236</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Compensation and stock-based compensation</w:t>
            </w: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554</w:t>
            </w:r>
          </w:p>
        </w:tc>
        <w:tc>
          <w:tcPr>
            <w:tcW w:w="440" w:type="dxa"/>
            <w:vAlign w:val="bottom"/>
          </w:tcPr>
          <w:p>
            <w:pPr>
              <w:spacing w:after="0"/>
              <w:rPr>
                <w:sz w:val="19"/>
                <w:szCs w:val="19"/>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1,918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1,790</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7,203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General and administrative expenses were $1.3 million and $2.1 million for the years ended December 31, 2019 and 2020, respectively. The increase of $0.8 million was primarily due to increases of $0.4 million in personnel-related expenses, including $0.3 million in non-cash stock-based compensation costs, and $0.4 million in professional services related to accounting and recruiting services, and other consulting fees.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Simple Agreement for Future Equity</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Change in fair value of SAFE was $0.9 million and $15,000 for the years ended December 31, 2019 and 2020, respectively. The SAFEs were converted to Series A convertible preferred stock in January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Since our inception, we have not generated any revenue and have incurred net losses and negative cash flows from our operations. We anticipate we will continue to incur significant operating losses for the foreseeable future as we continue to develop our current and future product candidates and may never become profitable. From our inception through March 31, 2021, we have raised aggregate gross proceeds of $157.2 million to fund our operations, comprised primarily from our private placements of our convertible preferred stock and issuance of SAFEs. As of March 31, 2021, we had cash and cash equivalents of $140.6 million and an accumulated deficit of $18.3 million.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9"/>
          </w:tcPr>
          <w:p>
            <w:pPr>
              <w:jc w:val="center"/>
              <w:ind w:right="58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44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0"/>
              </w:rPr>
              <w:t>2020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4"/>
              </w:rPr>
              <w:t>2020</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6"/>
            <w:shd w:val="clear" w:color="auto" w:fill="CCEEFF"/>
          </w:tcPr>
          <w:p>
            <w:pPr>
              <w:jc w:val="right"/>
              <w:ind w:right="181"/>
              <w:spacing w:after="0"/>
              <w:rPr>
                <w:sz w:val="20"/>
                <w:szCs w:val="20"/>
                <w:color w:val="auto"/>
              </w:rPr>
            </w:pPr>
            <w:r>
              <w:rPr>
                <w:rFonts w:ascii="Arial" w:cs="Arial" w:eastAsia="Arial" w:hAnsi="Arial"/>
                <w:sz w:val="18"/>
                <w:szCs w:val="18"/>
                <w:color w:val="auto"/>
                <w:w w:val="89"/>
              </w:rPr>
              <w:t>$(2,618)</w:t>
            </w:r>
          </w:p>
        </w:tc>
        <w:tc>
          <w:tcPr>
            <w:tcW w:w="10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 (7,763)</w:t>
            </w:r>
          </w:p>
        </w:tc>
        <w:tc>
          <w:tcPr>
            <w:tcW w:w="10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 (1,486)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(4,771)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6"/>
          </w:tcPr>
          <w:p>
            <w:pPr>
              <w:jc w:val="right"/>
              <w:ind w:right="181"/>
              <w:spacing w:after="0"/>
              <w:rPr>
                <w:sz w:val="20"/>
                <w:szCs w:val="20"/>
                <w:color w:val="auto"/>
              </w:rPr>
            </w:pPr>
            <w:r>
              <w:rPr>
                <w:rFonts w:ascii="Arial" w:cs="Arial" w:eastAsia="Arial" w:hAnsi="Arial"/>
                <w:sz w:val="18"/>
                <w:szCs w:val="18"/>
                <w:color w:val="auto"/>
              </w:rPr>
              <w:t>(20)</w:t>
            </w:r>
          </w:p>
        </w:tc>
        <w:tc>
          <w:tcPr>
            <w:tcW w:w="1060" w:type="dxa"/>
            <w:vAlign w:val="bottom"/>
            <w:gridSpan w:val="6"/>
          </w:tcPr>
          <w:p>
            <w:pPr>
              <w:jc w:val="right"/>
              <w:ind w:right="200"/>
              <w:spacing w:after="0"/>
              <w:rPr>
                <w:sz w:val="20"/>
                <w:szCs w:val="20"/>
                <w:color w:val="auto"/>
              </w:rPr>
            </w:pPr>
            <w:r>
              <w:rPr>
                <w:rFonts w:ascii="Arial" w:cs="Arial" w:eastAsia="Arial" w:hAnsi="Arial"/>
                <w:sz w:val="18"/>
                <w:szCs w:val="18"/>
                <w:color w:val="auto"/>
              </w:rPr>
              <w:t>(312)</w:t>
            </w:r>
          </w:p>
        </w:tc>
        <w:tc>
          <w:tcPr>
            <w:tcW w:w="1060" w:type="dxa"/>
            <w:vAlign w:val="bottom"/>
            <w:gridSpan w:val="6"/>
          </w:tcPr>
          <w:p>
            <w:pPr>
              <w:jc w:val="right"/>
              <w:ind w:right="20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23,434</w:t>
            </w: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23,328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130,245</w:t>
            </w:r>
          </w:p>
        </w:tc>
        <w:tc>
          <w:tcPr>
            <w:tcW w:w="12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cash increase (decrease) for the period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(2,481</w:t>
            </w:r>
          </w:p>
        </w:tc>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15,359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21,786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125,414</w:t>
            </w:r>
          </w:p>
        </w:tc>
        <w:tc>
          <w:tcPr>
            <w:tcW w:w="1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have incurred significant operating losses since inception. Net cash used in operating activities for the three months ended March 31, 2020 was $1.5 million, consisting primarily of our net loss of $1.5 million and $0.1 million for net changes in operating assets and liabilities, offset by $0.1 million of non-cash charges related primarily to stock-based compensation expense. The net change in operating assets and liabilities was primarily related to $0.2 million decrease in accounts payable and accrued liabilities, partially offset by $0.1 million decrease in prepaid assets.</w:t>
      </w:r>
    </w:p>
    <w:p>
      <w:pPr>
        <w:spacing w:after="0" w:line="157"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2021 was $4.8 million, consisting primarily of our net loss of $4.2 million, adjusted for $0.2 million of non-cash charges and $0.8 million for net changes in operating assets and liabilities. Noncash charges consisted primarily of $0.2 million of stock-based compensation expense. The net change in operating assets and liabilities was primarily related to $0.7 million decrease in accounts payable and accrued liabilities.</w:t>
      </w:r>
    </w:p>
    <w:p>
      <w:pPr>
        <w:spacing w:after="0" w:line="187" w:lineRule="exact"/>
        <w:rPr>
          <w:sz w:val="20"/>
          <w:szCs w:val="20"/>
          <w:color w:val="auto"/>
        </w:rPr>
      </w:pPr>
    </w:p>
    <w:p>
      <w:pPr>
        <w:ind w:left="120" w:right="380" w:firstLine="881"/>
        <w:spacing w:after="0" w:line="259" w:lineRule="auto"/>
        <w:rPr>
          <w:sz w:val="20"/>
          <w:szCs w:val="20"/>
          <w:color w:val="auto"/>
        </w:rPr>
      </w:pPr>
      <w:r>
        <w:rPr>
          <w:rFonts w:ascii="Arial" w:cs="Arial" w:eastAsia="Arial" w:hAnsi="Arial"/>
          <w:sz w:val="18"/>
          <w:szCs w:val="18"/>
          <w:color w:val="auto"/>
        </w:rPr>
        <w:t>Net cash used in operating activities for the year ended December 31, 2019 was $2.6 million, consisting primarily of our net loss of $4.1 million, adjusted for $1.0 million of non-cash charges and $0.5 million for net changes in operating assets and liabilities. Noncash charges consisted primarily of $0.9 million related to the change in fair value of our SAFEs. The net change in operating assets and liabilities was primarily related to $0.5 million increase in accounts payable and accrued liabilities.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259" w:lineRule="auto"/>
        <w:rPr>
          <w:sz w:val="20"/>
          <w:szCs w:val="20"/>
          <w:color w:val="auto"/>
        </w:rPr>
      </w:pPr>
      <w:r>
        <w:rPr>
          <w:rFonts w:ascii="Arial" w:cs="Arial" w:eastAsia="Arial" w:hAnsi="Arial"/>
          <w:sz w:val="18"/>
          <w:szCs w:val="18"/>
          <w:color w:val="auto"/>
        </w:rPr>
        <w:t>Net cash used in operating activities for the year ended December 31, 2020 was $7.8 million, consisting primarily of our net loss of $9.3 million, adjusted for $0.5 million of non-cash charges and $1.0 million for net changes in operating assets and liabilities. Noncash charges consisted primarily of $0.4 million of stock-based compensation expense. The net change in operating assets and liabilities was primarily related to $1.0 million increase in accounts payable and accrued liabilities.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and 2021 was $0.1 million each, consisting of purchases of property and equipment.</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Net cash used in investing activities for the year ended December 31, 2019 and 2020 was $20,000 and $0.3 million, respectively, consisting of purchases of property and equipment.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Net cash provided by financing activities was $23.3 million for the three months ended March 31, 2020 and related to net proceeds of $23.3 million from the issuance of Series A convertible preferred stock. Net cash provided by financing activities was $130.2 million for the three months ended March 31, 2021, due to net proceeds of $23.5 million from the second closing of our Series A convertible preferred stock, $106.3 million in net proceeds from the issuance of our Series B convertible preferred stock, and $0.5 million from proceeds received from the exercise of stock options, partially offset by $0.1 million payment for deferred offering costs.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Net cash provided by financing activities was $0.2 million for the year ended December 31, 2019, primarily due to proceeds for the issuance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our SAFEs. Net cash provided by financing activities was $23.4 million for the year ended December 31, 2020, primarily due to net proceeds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$23.3 million received from the issuance of our Series A convertible preferred stock, and $0.1 million from proceeds received from the exercise of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options.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Based on our current operating plan, we believe that our existing cash and cash equivalents, together with the estimated net proceeds from</w:t>
      </w:r>
    </w:p>
    <w:p>
      <w:pPr>
        <w:spacing w:after="0" w:line="46"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this offering, will be sufficient to meet our anticipated operating expenses and capital expenditures through at least the next months.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52" w:lineRule="exact"/>
        <w:rPr>
          <w:sz w:val="20"/>
          <w:szCs w:val="20"/>
          <w:color w:val="auto"/>
        </w:rPr>
      </w:pPr>
    </w:p>
    <w:p>
      <w:pPr>
        <w:ind w:left="1420" w:right="320" w:hanging="319"/>
        <w:spacing w:after="0" w:line="263"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210"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manufacturing for current or future product candidates, including commercial scale manufacturing if any product candidate is approved;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current or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2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any future licensors;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costs and timing of establishing or securing sales and marketing capabilities if any current or future product candidate is approved;</w:t>
      </w:r>
    </w:p>
    <w:p>
      <w:pPr>
        <w:spacing w:after="0" w:line="275" w:lineRule="exact"/>
        <w:rPr>
          <w:rFonts w:ascii="Arial" w:cs="Arial" w:eastAsia="Arial" w:hAnsi="Arial"/>
          <w:sz w:val="16"/>
          <w:szCs w:val="16"/>
          <w:color w:val="auto"/>
        </w:rPr>
      </w:pPr>
    </w:p>
    <w:p>
      <w:pPr>
        <w:ind w:left="1420" w:right="50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delays or issues with any of the above, including the risk of each of which may be exacerbated by the ongoing COVID-19 pandemic.</w:t>
      </w:r>
    </w:p>
    <w:p>
      <w:pPr>
        <w:spacing w:after="0" w:line="248"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November 2018, we entered into an operating lease agreement for corporate office space in Carlsbad, California. As of March 31, 2021, the remaining lease payments are approximately $0.1 million, with a lease expiration of November 2021.</w:t>
      </w:r>
    </w:p>
    <w:p>
      <w:pPr>
        <w:spacing w:after="0" w:line="170"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In August 2020, we entered into a lease agreement for corporate office and laboratory space in Carlsbad, California. The lease commenced in the second quarter of 2021 and projected lease payments over the life of the lease are expected to be $1.5 million, with a lease expiration of 60 months from lease commencement as defined in the lease agreement. We have the option to renew the lease for two additional thirty-six-month periods.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We enter into contracts in the normal course of business for contract research services, professional services and other services and products for operating purposes. These contracts generally provide for termination after a notice period, and, therefore, are cancelable contracts and not separately presented.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liabilities, revenue and expenses and the disclosure of contingent assets and liabilities in our financial statements.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66" w:lineRule="exact"/>
        <w:rPr>
          <w:sz w:val="20"/>
          <w:szCs w:val="20"/>
          <w:color w:val="auto"/>
        </w:rPr>
      </w:pPr>
    </w:p>
    <w:p>
      <w:pPr>
        <w:ind w:left="120" w:right="520" w:firstLine="881"/>
        <w:spacing w:after="0" w:line="308" w:lineRule="auto"/>
        <w:rPr>
          <w:sz w:val="20"/>
          <w:szCs w:val="20"/>
          <w:color w:val="auto"/>
        </w:rPr>
      </w:pPr>
      <w:r>
        <w:rPr>
          <w:rFonts w:ascii="Arial" w:cs="Arial" w:eastAsia="Arial" w:hAnsi="Arial"/>
          <w:sz w:val="17"/>
          <w:szCs w:val="17"/>
          <w:color w:val="auto"/>
        </w:rPr>
        <w:t>While our significant accounting policies are described in more detail in Note 2 to our financial statements included elsewhere in this prospectus, we believe the following accounting policies and estimates to be most critical to the preparation of our financial statements.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w:t>
      </w:r>
    </w:p>
    <w:p>
      <w:pPr>
        <w:spacing w:after="0" w:line="225" w:lineRule="exact"/>
        <w:rPr>
          <w:sz w:val="20"/>
          <w:szCs w:val="20"/>
          <w:color w:val="auto"/>
        </w:rPr>
      </w:pPr>
    </w:p>
    <w:p>
      <w:pPr>
        <w:ind w:left="120" w:right="140" w:firstLine="881"/>
        <w:spacing w:after="0" w:line="271" w:lineRule="auto"/>
        <w:rPr>
          <w:sz w:val="20"/>
          <w:szCs w:val="20"/>
          <w:color w:val="auto"/>
        </w:rPr>
      </w:pPr>
      <w:r>
        <w:rPr>
          <w:rFonts w:ascii="Arial" w:cs="Arial" w:eastAsia="Arial" w:hAnsi="Arial"/>
          <w:sz w:val="17"/>
          <w:szCs w:val="17"/>
          <w:color w:val="auto"/>
        </w:rPr>
        <w:t>We are required to estimate our expenses resulting from obligations under contracts with vendors, and consultants, in connection with conducting research and development activities. The financial terms of these contracts are subject to negotiations, which vary from contract to contract and may result in payment flows that do not match the periods over which materials or services are provided under such contracts. We reflect research and development expenses in our financial statements by matching those expenses with the period in which services and efforts are expended. We account for these expenses according to the progress of the preclinical study, as measured by the timing of various aspects of the study or related activities. We determine accrual estimates through review of the underlying contracts along with preparation of financial models taking into account discussions with research and other key personnel as to the progress of studies, or other services being conducted. During the course of a study, we adjust our rate of expense recognition if actual results differ from our estimates.</w:t>
      </w:r>
    </w:p>
    <w:p>
      <w:pPr>
        <w:spacing w:after="0" w:line="178"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SAFEs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SAFEs were accounted for at fair value and revalued at each reporting period with changes in the fair value of the liabilities recorded as a component of other expense in the statements of operations and comprehensive loss. There are significant judgments and estimates inherent in the determination of the fair value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of the liability. If we had made different assumptions including, among others, those related to the timing and probability of various financing scenarios, discount rates, volatilities and exit valuations, the carrying values of our SAFEs, and our net loss and net loss per share of common stock could have been significantly different. Our SAFEs converted to shares of our Series A convertible preferred stock on January 6, 2020 and therefore no longer require fair value accounting.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recognize stock-based compensation expense for all stock-based awards made to employees and consultants based on estimated grant date fair values. We use the straight-line method to allocate compensation costs over the requisite service period. We estimate the fair value of stock options at the grant date using the Black-Scholes option-pricing model. The Black-Scholes option-pricing model requires the input of subjective assumptions, including the fair value of common stock, expected term, expected volatility, risk-free interest rate, and expected dividend yield, which are described in greater detail below. We recognize actual forfeitures by reducing the stock-based compensation expense in the same period as the forfeiture occurs.</w:t>
      </w:r>
    </w:p>
    <w:p>
      <w:pPr>
        <w:spacing w:after="0" w:line="192"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See Note 7 to our financial statements included elsewhere in this prospectus for information concerning certain of the specific assumptions we used in applying the Black-Scholes option-pricing model to determine the estimated fair value of stock options granted.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Stock-based compensation expense was $0 and $0.4 million during the years ended December 31, 2019 and 2020, respectively,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$0.1 million and $0.2 million for the three months ended March 31, 2020 and 2021, respectively. As of March 31, 2021, there was $3.6 million of total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unrecognized stock-based compensation expense related to outstanding employee and nonemployee options which we expect to recognize over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weighted-average period of 3.9 years.</w:t>
      </w:r>
    </w:p>
    <w:p>
      <w:pPr>
        <w:spacing w:after="0" w:line="211"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intrinsic value of all outstanding options as of March 31, 2021 was $ million based on an assumed initial public offering price of $ per share, which is the midpoint of the price range set forth on the cover of this prospectus, of which approximately $ million was related to vested options and approximately $ million was related to unvested options.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 xml:space="preserve">As there has been no public market for our common stock to date, the estimated fair value of our common stock has been determined by our board of directors as of the date of each option grant, with input from management, considering contemporaneous independent third-party valuations of common stock, and our board of directors’ assessment of additional objective and subjective factors that it believed were relevant and which may have changed from the date of the most recent valuation through the date of the grant, including: the prices at which we sold shares of our convertible preferred stock to outside investors in arms-length transactions, and the superior rights, preferences and privileges of the preferred stock relative to the common stock at the time of each grant; the progress of the our company’s research and development programs, including their stages of development, and the our company’s business strategy; external market and other conditions affecting the biotechnology industry, and trends within the biotechnology industry; the our company’s financial position, including cash on hand, and our historical and forecasted performance and operating results; the lack of an active public market for the our company’s common stock; the likelihood of achieving a liquidity event for the our company’s securityholders, such as an initial public offering or a sale of the company, taking into consideration prevailing market conditions; the hiring of key personnel and the experience of management; and the analysis of initial public offerings and the market performance of peer companies in the biopharmaceutical industry, as well as completed mergers and acquisitions of peer companies. These independent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Securities Issued as Compensation </w:t>
      </w:r>
      <w:r>
        <w:rPr>
          <w:rFonts w:ascii="Arial" w:cs="Arial" w:eastAsia="Arial" w:hAnsi="Arial"/>
          <w:sz w:val="16"/>
          <w:szCs w:val="16"/>
          <w:color w:val="auto"/>
        </w:rPr>
        <w:t>(Practice Aid). The methodology to determine the fair value of our common stock included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estimating the fair value of the enterprise using a market approach, which estimates the fair value of a company by including an estimation of the value of the business based on guideline public companies under a number of different scenarios.</w:t>
      </w:r>
    </w:p>
    <w:p>
      <w:pPr>
        <w:spacing w:after="0" w:line="170"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51" w:lineRule="exact"/>
        <w:rPr>
          <w:sz w:val="20"/>
          <w:szCs w:val="20"/>
          <w:color w:val="auto"/>
        </w:rPr>
      </w:pPr>
    </w:p>
    <w:p>
      <w:pPr>
        <w:ind w:left="1420" w:hanging="319"/>
        <w:spacing w:after="0" w:line="279" w:lineRule="auto"/>
        <w:tabs>
          <w:tab w:leader="none" w:pos="1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Option Pricing Method, or OPM. Under the OPM, shares are valued by creating a series of call options with exercise prices based on the liquidation preferences and conversion terms of each equity class. The estimated fair values of the preferred and common stock are inferred by analyzing these options. This method is appropriate to use when the range of possible future outcomes is so difficult to predict that estimates would be highly speculative, and dissolution or liquidation is not imminent.</w:t>
      </w:r>
    </w:p>
    <w:p>
      <w:pPr>
        <w:spacing w:after="0" w:line="198" w:lineRule="exact"/>
        <w:rPr>
          <w:rFonts w:ascii="Arial" w:cs="Arial" w:eastAsia="Arial" w:hAnsi="Arial"/>
          <w:sz w:val="17"/>
          <w:szCs w:val="17"/>
          <w:color w:val="auto"/>
        </w:rPr>
      </w:pPr>
    </w:p>
    <w:p>
      <w:pPr>
        <w:ind w:left="1420" w:right="80" w:hanging="319"/>
        <w:spacing w:after="0" w:line="263"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Probability-Weighted Expected Return Method, or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Hybrid Method. The hybrid method is a PWERM where the equity value in one or more scenarios is calculated using an OPM.</w:t>
      </w:r>
    </w:p>
    <w:p>
      <w:pPr>
        <w:spacing w:after="0" w:line="237"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Based on our early stage of development, the difficulty in predicting the range of specific outcomes (and their likelihood) and other relevant factors, we determined that an OPM was the most appropriate method for allocating our enterprise value to determine the estimated fair value of our common stock for valuation dates prior to March 2021. For valuations performed after this date, we used the Hybrid Method which takes into account a PWERM or OPM depending on the scenario.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78"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other liquidity event and the determination of the appropriate valuation methods. If we had made different assumptions, our stock-based compensation expense, net loss and net loss per share of common stock could have been significantly different.</w:t>
      </w:r>
    </w:p>
    <w:p>
      <w:pPr>
        <w:spacing w:after="0" w:line="187"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Following the completion of this offering, our board of directors will determine the fair value of our common stock based on its closing price as reported on the date of grant on the primary stock exchange on which our common stock is traded.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appearing elsewhere in this prospectus.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Our cash and cash equivalents consist of cash in readily available checking accounts and money market funds. As a result, the fair value of our portfolio is relatively insensitive to interest rate changes.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research and development services that are denominated in foreign currencies.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hypothetical 10% increase or decrease in exchange rates during any of the periods presented would not have had a material impact on our financial results.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financial results during the periods presented.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jc w:val="both"/>
        <w:ind w:left="120" w:right="140" w:firstLine="881"/>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earliest to occur of: (i) the last day of the fiscal year in which we have more than $1.07 billion in annual revenue;</w:t>
      </w:r>
    </w:p>
    <w:p>
      <w:pPr>
        <w:ind w:left="120" w:hanging="4"/>
        <w:spacing w:after="0" w:line="252" w:lineRule="auto"/>
        <w:tabs>
          <w:tab w:leader="none" w:pos="3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 related information that would be required if we were not an emerging growth company.</w:t>
      </w:r>
    </w:p>
    <w:p>
      <w:pPr>
        <w:spacing w:after="0" w:line="194" w:lineRule="exact"/>
        <w:rPr>
          <w:sz w:val="20"/>
          <w:szCs w:val="20"/>
          <w:color w:val="auto"/>
        </w:rPr>
      </w:pPr>
    </w:p>
    <w:p>
      <w:pPr>
        <w:ind w:left="120" w:right="240" w:firstLine="881"/>
        <w:spacing w:after="0" w:line="293"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20" w:firstLine="881"/>
        <w:spacing w:after="0" w:line="283" w:lineRule="auto"/>
        <w:rPr>
          <w:sz w:val="20"/>
          <w:szCs w:val="20"/>
          <w:color w:val="auto"/>
        </w:rPr>
      </w:pPr>
      <w:r>
        <w:rPr>
          <w:rFonts w:ascii="Arial" w:cs="Arial" w:eastAsia="Arial" w:hAnsi="Arial"/>
          <w:sz w:val="16"/>
          <w:szCs w:val="16"/>
          <w:color w:val="auto"/>
        </w:rPr>
        <w:t>We are a precision oncology company focused on developing purpose-built therapies to overcome tumor resistance and improve outcomes for patients with cancer. The widespread availability of approved targeted oncology treatments, such as kinase inhibitors, has transformed the cancer treatment landscape. Despite the therapeutic benefit that targeted oncology treatments have created for some patients, the response rate and duration of efficacy is often limited by acquired drug resistance and other shortcomings of existing therapies.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or FGFR, family, which are altered in approximately 7% of all cancers. Our lead product candidate, TYRA-300, is designed to selectively inhibit FGFR3, with an initial focus on patients with bladder cancer. We anticipate filing an Investigational New Drug application, or IND, with the U.S. Food and Drug Administration, or the FDA, for TYRA-300 in</w:t>
      </w:r>
    </w:p>
    <w:p>
      <w:pPr>
        <w:spacing w:after="0" w:line="6" w:lineRule="exact"/>
        <w:rPr>
          <w:sz w:val="20"/>
          <w:szCs w:val="20"/>
          <w:color w:val="auto"/>
        </w:rPr>
      </w:pPr>
    </w:p>
    <w:p>
      <w:pPr>
        <w:ind w:left="120" w:right="300" w:firstLine="896"/>
        <w:spacing w:after="0" w:line="260" w:lineRule="auto"/>
        <w:tabs>
          <w:tab w:leader="none" w:pos="11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addition, we have pipeline development programs targeting FGFR2-related cancers, FGFR3-related achondroplasia and REarranged during Transfection kinase, or RET, and FGFR4-related cancers.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SNÅP platform</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developed our proprietary SNÅP platform to efficiently identify and selectively target vulnerabilities in the mutant proteins where genetic alterations have eliminated or reduced the effectiveness of targeted therapies. Through the rapid generation of precise molecular SNÅPshots, we continually gain deeper insights into the structure of inhibitor binding sites and how commonly occurring genetic alterations lead to acquired drug resistance to existing therapies. Leveraging these insights, we aim to predict the genetic alterations most likely to cause resistance to specific existing therapies and develop compound candidates with innovative structures that are designed to inhibit the target while avoiding those mutations. Through this process, we identify product candidates that may have the potency and selectivity to, if approved, be used as important treatment options to address critical unmet needs.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SNÅP platform is driven by our ability to rapidly and concurrently generate iterative data from the following three key pillars.</w:t>
      </w:r>
    </w:p>
    <w:p>
      <w:pPr>
        <w:spacing w:after="0" w:line="260" w:lineRule="exact"/>
        <w:rPr>
          <w:sz w:val="20"/>
          <w:szCs w:val="20"/>
          <w:color w:val="auto"/>
        </w:rPr>
      </w:pPr>
    </w:p>
    <w:p>
      <w:pPr>
        <w:ind w:left="1420" w:hanging="319"/>
        <w:spacing w:after="0" w:line="261"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Protein crystallography</w:t>
      </w:r>
      <w:r>
        <w:rPr>
          <w:rFonts w:ascii="Arial" w:cs="Arial" w:eastAsia="Arial" w:hAnsi="Arial"/>
          <w:sz w:val="18"/>
          <w:szCs w:val="18"/>
          <w:color w:val="auto"/>
        </w:rPr>
        <w:t>. We have developed proprietary protein crystallography techniques that enable us to determine the co-crystal</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structures of newly synthesized compounds in target proteins in as little as three days. This enables weekly generation of detailed structural insights on the precise interactions and conformational changes that occur when our potential product candidates bind to a particular target, creating opportunities to further refine the structural design.</w:t>
      </w:r>
    </w:p>
    <w:p>
      <w:pPr>
        <w:spacing w:after="0" w:line="206" w:lineRule="exact"/>
        <w:rPr>
          <w:rFonts w:ascii="Arial" w:cs="Arial" w:eastAsia="Arial" w:hAnsi="Arial"/>
          <w:sz w:val="18"/>
          <w:szCs w:val="18"/>
          <w:color w:val="auto"/>
        </w:rPr>
      </w:pPr>
    </w:p>
    <w:p>
      <w:pPr>
        <w:ind w:left="1420" w:right="20" w:hanging="319"/>
        <w:spacing w:after="0" w:line="266"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Cell-based assays</w:t>
      </w:r>
      <w:r>
        <w:rPr>
          <w:rFonts w:ascii="Arial" w:cs="Arial" w:eastAsia="Arial" w:hAnsi="Arial"/>
          <w:sz w:val="18"/>
          <w:szCs w:val="18"/>
          <w:color w:val="auto"/>
        </w:rPr>
        <w:t>. We assess inhibitor potency directly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target-specific anti-proliferation assays, in addition to enzymatic</w:t>
      </w:r>
      <w:r>
        <w:rPr>
          <w:rFonts w:ascii="Arial" w:cs="Arial" w:eastAsia="Arial" w:hAnsi="Arial"/>
          <w:sz w:val="18"/>
          <w:szCs w:val="18"/>
          <w:b w:val="1"/>
          <w:bCs w:val="1"/>
          <w:color w:val="auto"/>
        </w:rPr>
        <w:t xml:space="preserve"> </w:t>
      </w:r>
      <w:r>
        <w:rPr>
          <w:rFonts w:ascii="Arial" w:cs="Arial" w:eastAsia="Arial" w:hAnsi="Arial"/>
          <w:sz w:val="18"/>
          <w:szCs w:val="18"/>
          <w:color w:val="auto"/>
        </w:rPr>
        <w:t>assays, to enable us to simultaneously understand target potency and cell penetration as well as target-specific cell killing. Our process allows us to generate data on newly synthesized compounds in as little as two days.</w:t>
      </w:r>
    </w:p>
    <w:p>
      <w:pPr>
        <w:spacing w:after="0" w:line="202" w:lineRule="exact"/>
        <w:rPr>
          <w:rFonts w:ascii="Arial" w:cs="Arial" w:eastAsia="Arial" w:hAnsi="Arial"/>
          <w:sz w:val="18"/>
          <w:szCs w:val="18"/>
          <w:color w:val="auto"/>
        </w:rPr>
      </w:pPr>
    </w:p>
    <w:p>
      <w:pPr>
        <w:ind w:left="1420" w:right="20" w:hanging="319"/>
        <w:spacing w:after="0" w:line="347" w:lineRule="auto"/>
        <w:tabs>
          <w:tab w:leader="none" w:pos="142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 vivo </w:t>
      </w:r>
      <w:r>
        <w:rPr>
          <w:rFonts w:ascii="Arial" w:cs="Arial" w:eastAsia="Arial" w:hAnsi="Arial"/>
          <w:sz w:val="16"/>
          <w:szCs w:val="16"/>
          <w:b w:val="1"/>
          <w:bCs w:val="1"/>
          <w:color w:val="auto"/>
        </w:rPr>
        <w:t>models</w:t>
      </w:r>
      <w:r>
        <w:rPr>
          <w:rFonts w:ascii="Arial" w:cs="Arial" w:eastAsia="Arial" w:hAnsi="Arial"/>
          <w:sz w:val="16"/>
          <w:szCs w:val="16"/>
          <w:color w:val="auto"/>
        </w:rPr>
        <w:t>. Our direct structural insights 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datasets are complemented by</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 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pharmacologic data generated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in-house animal models that provide us with bioavailability, pharmacokinetic data and anti-tumor activity in as little as five days.</w:t>
      </w: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205740</wp:posOffset>
            </wp:positionV>
            <wp:extent cx="4208780" cy="2802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087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SNÅP platform</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Together, these three pillars of our platform provide a molecular SNÅPshot for our compound candidates. At this time, we are able to generate a molecular SNÅPshot for a compound candidate within one week. We believe that a sharp focus on efficiently generating these three key empirical datasets for compound candidates enables us to balance speed with the robust identification of pivotal insights to rapidly and precisely iterate on the design of our novel molecular structures.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an overview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168910</wp:posOffset>
            </wp:positionV>
            <wp:extent cx="5074920" cy="2065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7492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320" w:top="459" w:right="5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FGFR3 Program—TYRA-300</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our lead product candidate, TYRA-300, a selective inhibitor of FGFR3, initially for the treatment of muscle invasive bladder cancer, or MIBC. One common mechanism of acquired drug resistance in kinases such as FGFR3 is the emergence of gatekeeper mutations. For example, the V555M and V555L gatekeeper mutations have been shown to block access to a portion of the binding pocket accessed by first generation FGFR compounds, such as Balversa</w:t>
      </w:r>
      <w:r>
        <w:rPr>
          <w:rFonts w:ascii="Arial" w:cs="Arial" w:eastAsia="Arial" w:hAnsi="Arial"/>
          <w:sz w:val="15"/>
          <w:szCs w:val="15"/>
          <w:color w:val="auto"/>
        </w:rPr>
        <w:t>®</w:t>
      </w:r>
      <w:r>
        <w:rPr>
          <w:rFonts w:ascii="Arial" w:cs="Arial" w:eastAsia="Arial" w:hAnsi="Arial"/>
          <w:sz w:val="18"/>
          <w:szCs w:val="18"/>
          <w:color w:val="auto"/>
        </w:rPr>
        <w:t xml:space="preserve"> (erdafitinib), the only currently FDA approved FGFR3 inhibitor for MIBC, as well as infigratinib, a non-selective FGFR inhibitor in late-stage clinical development. Because we believe the gatekeeper mutation represents a key limitation to efficacy and durability of the therapeutic effect of first generation FGFR compounds, we have designed TYRA-300 to avoid interactions with the gatekeeper region of the inhibitor binding site. In cell-based assays and preclinical xenograft models, we observed that TYRA-300 had similar inhibition against both the wild-type and the gatekeeper mutations.</w:t>
      </w:r>
    </w:p>
    <w:p>
      <w:pPr>
        <w:spacing w:after="0" w:line="192"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In addition to addressing the gatekeeper resistance mutations, we have designed TYRA-300 to be more selective for FGFR3 over FGFR1 to minimize off-target side effects, providing potential clinical advantages over less selective first generation compounds. For example, inhibition of FGFR1 is associated with a well-characterized adverse event, hyperphosphatemia, an electrolyte disorder characterized by an elevated level of phosphate in the blood, which is commonly observed in patients treated with these inhibitors, limiting their dosing.</w:t>
      </w:r>
    </w:p>
    <w:p>
      <w:pPr>
        <w:spacing w:after="0" w:line="17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We have designed TYRA-300 to be more selective for FGFR3 over FGFR1 in order to potentially reduce the need for dose modifications or interruptions due to hyperphosphatemia, which we believe will result in increased efficacy and improved clinical outcomes for patients with MIBC. We believe TYRA-300 has the potential to address additional indications such as non-muscle invasive bladder cancer, or NMIBC, as well as other FGFR3-driven indications demonstrating resistance to existing therapies or for which such therapies result in dose-limiting adverse events, such as hyperphosphatemia.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FGFR2 Program</w:t>
      </w:r>
    </w:p>
    <w:p>
      <w:pPr>
        <w:spacing w:after="0" w:line="225"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6"/>
          <w:szCs w:val="16"/>
          <w:color w:val="auto"/>
        </w:rPr>
        <w:t>Our second program is focused on the inhibition of FGFR2, initially for the treatment of intrahepatic cholangiocarcinoma, or ICC, a cancer of the biliary ducts. Acquired resistance mutations, such as gatekeeper and molecular brake mutations, have been observed in patients treated with Pemazyre</w:t>
      </w:r>
      <w:r>
        <w:rPr>
          <w:rFonts w:ascii="Arial" w:cs="Arial" w:eastAsia="Arial" w:hAnsi="Arial"/>
          <w:sz w:val="13"/>
          <w:szCs w:val="13"/>
          <w:color w:val="auto"/>
        </w:rPr>
        <w:t>®</w:t>
      </w:r>
      <w:r>
        <w:rPr>
          <w:rFonts w:ascii="Arial" w:cs="Arial" w:eastAsia="Arial" w:hAnsi="Arial"/>
          <w:sz w:val="16"/>
          <w:szCs w:val="16"/>
          <w:color w:val="auto"/>
        </w:rPr>
        <w:t xml:space="preserve"> (pemigatinib) and TRUSELIQ</w:t>
      </w:r>
      <w:r>
        <w:rPr>
          <w:rFonts w:ascii="Arial" w:cs="Arial" w:eastAsia="Arial" w:hAnsi="Arial"/>
          <w:sz w:val="13"/>
          <w:szCs w:val="13"/>
          <w:color w:val="auto"/>
        </w:rPr>
        <w:t>®</w:t>
      </w:r>
      <w:r>
        <w:rPr>
          <w:rFonts w:ascii="Arial" w:cs="Arial" w:eastAsia="Arial" w:hAnsi="Arial"/>
          <w:sz w:val="16"/>
          <w:szCs w:val="16"/>
          <w:color w:val="auto"/>
        </w:rPr>
        <w:t xml:space="preserve"> (infigratinib), the two FDA approved FGFR inhibitors for ICC, and in other late stage clinical inhibitors, such as futibatinib. We are developing an inhibitor with the potential to address key resistance mutations, which we believe is necessary to address the</w:t>
      </w:r>
    </w:p>
    <w:p>
      <w:pPr>
        <w:spacing w:after="0" w:line="1" w:lineRule="exact"/>
        <w:rPr>
          <w:sz w:val="20"/>
          <w:szCs w:val="20"/>
          <w:color w:val="auto"/>
        </w:rPr>
      </w:pPr>
    </w:p>
    <w:p>
      <w:pPr>
        <w:ind w:left="120"/>
        <w:spacing w:after="0"/>
        <w:tabs>
          <w:tab w:leader="none" w:pos="6260" w:val="left"/>
        </w:tabs>
        <w:rPr>
          <w:sz w:val="20"/>
          <w:szCs w:val="20"/>
          <w:color w:val="auto"/>
        </w:rPr>
      </w:pPr>
      <w:r>
        <w:rPr>
          <w:rFonts w:ascii="Arial" w:cs="Arial" w:eastAsia="Arial" w:hAnsi="Arial"/>
          <w:sz w:val="18"/>
          <w:szCs w:val="18"/>
          <w:color w:val="auto"/>
        </w:rPr>
        <w:t>problem of polyclonal resistance. We plan to nominate a product candidate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Achondroplasia, RET and FGFR4 Programs</w:t>
      </w:r>
    </w:p>
    <w:p>
      <w:pPr>
        <w:spacing w:after="0" w:line="22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Our pipeline also includes development programs targeting FGFR3-related achondroplasia as well as RET and FGFR4-related cancers. These programs are currently in early lead optimization stage. Our achondroplasia program is aimed at developing a potential treatment for pediatric patients, benefiting from our structural insights into the FGFR3 selectivity we have observed with TYRA-300. This genetic disorder is caused by a mutation in the FGFR3 gene. Our RET and FGFR4 programs are focused on overcoming acquired drug resistance mutations that are clinically observed to arise in response to marketed or clinical-stage drugs in RET- and FGFR4-related cancers.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Leadership Team and Investors</w:t>
      </w:r>
    </w:p>
    <w:p>
      <w:pPr>
        <w:spacing w:after="0" w:line="229" w:lineRule="exact"/>
        <w:rPr>
          <w:sz w:val="20"/>
          <w:szCs w:val="20"/>
          <w:color w:val="auto"/>
        </w:rPr>
      </w:pPr>
    </w:p>
    <w:p>
      <w:pPr>
        <w:ind w:left="120" w:right="660" w:firstLine="881"/>
        <w:spacing w:after="0" w:line="277" w:lineRule="auto"/>
        <w:rPr>
          <w:sz w:val="20"/>
          <w:szCs w:val="20"/>
          <w:color w:val="auto"/>
        </w:rPr>
      </w:pPr>
      <w:r>
        <w:rPr>
          <w:rFonts w:ascii="Arial" w:cs="Arial" w:eastAsia="Arial" w:hAnsi="Arial"/>
          <w:sz w:val="18"/>
          <w:szCs w:val="18"/>
          <w:color w:val="auto"/>
        </w:rPr>
        <w:t>We are led by a team with extensive experience in drug discovery and development, with a particular focus on small molecule drug development. Todd Harris, Ph.D., our co-founder and Chief Executive Officer,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previously founded and served as Chief Executive Officer of Sienna Labs. Daniel Bensen, our co-founder and Chief Operating Officer, is a structural biologist and protein chemist with over 20 years of experience, most recently at Cidara Therapeutics and Trius Therapeutics. Robert Hudkins, Ph.D., our Chief Technical Officer, has over 34 years of oncology and neuroscience medicinal chemistry experience, including 26 years at Cephalon and Teva, where he was an inventor and team leader advancing new chemical entities into clinical development. Ronald Swanson, Ph.D., our Chief Scientific Officer, has over 25 years of biotechnology and pharmaceutical experience, most recently at Janssen. Hiroomi Tada, M.D., Ph.D., our Chief Medical Officer, was a clinical lead for the development of a portfolio of therapies at Incyte, GlaxoSmithKline and AstraZeneca. Our Chief Development Officer, Piyush Patel, Ph.D., with nearly three decades of experience, previously served as Chief Scientific Officer at CinRx and led drug formulation, clinical manufacturing and process development at Cephalon and Teva.</w:t>
      </w:r>
    </w:p>
    <w:p>
      <w:pPr>
        <w:spacing w:after="0" w:line="178"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To date, we have raised $157.2 million from leading investors in the life sciences industry. Investors with 5% or greater ownership are Alta Partners, Boxer Capital of Tavistock Group, Canaan, Nextech Invest and RA Capital.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At Tyra, we do not accept that cancer patients with acquired drug resistance should be left with the devastating reality of limited or no treatment options. Our vision is to become a leading precision medicine company utilizing our unique approach to designing and developing purpose-built therapies to overcome acquired drug resistance in tumors and provide treatment options to these patients who have limited or no options. Key elements of our strategy to achieve our vision are as follows.</w:t>
      </w:r>
    </w:p>
    <w:p>
      <w:pPr>
        <w:spacing w:after="0" w:line="210" w:lineRule="exact"/>
        <w:rPr>
          <w:sz w:val="20"/>
          <w:szCs w:val="20"/>
          <w:color w:val="auto"/>
        </w:rPr>
      </w:pPr>
    </w:p>
    <w:p>
      <w:pPr>
        <w:ind w:left="1420" w:right="100" w:hanging="319"/>
        <w:spacing w:after="0" w:line="289"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Advance product candidates for acquired drug resistance mutations in FGFR3 and FGFR2 through clinical development and regulatory approval. </w:t>
      </w:r>
      <w:r>
        <w:rPr>
          <w:rFonts w:ascii="Arial" w:cs="Arial" w:eastAsia="Arial" w:hAnsi="Arial"/>
          <w:sz w:val="16"/>
          <w:szCs w:val="16"/>
          <w:color w:val="auto"/>
        </w:rPr>
        <w:t>We are developing our next-generation precision oncology programs with a goal of overcoming the tumor</w:t>
      </w:r>
      <w:r>
        <w:rPr>
          <w:rFonts w:ascii="Arial" w:cs="Arial" w:eastAsia="Arial" w:hAnsi="Arial"/>
          <w:sz w:val="16"/>
          <w:szCs w:val="16"/>
          <w:b w:val="1"/>
          <w:bCs w:val="1"/>
          <w:color w:val="auto"/>
        </w:rPr>
        <w:t xml:space="preserve"> </w:t>
      </w:r>
      <w:r>
        <w:rPr>
          <w:rFonts w:ascii="Arial" w:cs="Arial" w:eastAsia="Arial" w:hAnsi="Arial"/>
          <w:sz w:val="16"/>
          <w:szCs w:val="16"/>
          <w:color w:val="auto"/>
        </w:rPr>
        <w:t>alterations in FGFR3 and FGFR2-driven cancers that result in resistance and reduction of therapeutic effect of first generation FGFR</w:t>
      </w:r>
    </w:p>
    <w:p>
      <w:pPr>
        <w:spacing w:after="0" w:line="2" w:lineRule="exact"/>
        <w:rPr>
          <w:sz w:val="20"/>
          <w:szCs w:val="20"/>
          <w:color w:val="auto"/>
        </w:rPr>
      </w:pPr>
    </w:p>
    <w:p>
      <w:pPr>
        <w:jc w:val="both"/>
        <w:ind w:left="1420" w:right="140"/>
        <w:spacing w:after="0" w:line="281" w:lineRule="auto"/>
        <w:rPr>
          <w:sz w:val="20"/>
          <w:szCs w:val="20"/>
          <w:color w:val="auto"/>
        </w:rPr>
      </w:pPr>
      <w:r>
        <w:rPr>
          <w:rFonts w:ascii="Arial" w:cs="Arial" w:eastAsia="Arial" w:hAnsi="Arial"/>
          <w:sz w:val="16"/>
          <w:szCs w:val="16"/>
          <w:color w:val="auto"/>
        </w:rPr>
        <w:t>treatments. We are initially developing product candidates for patients with MIBC and ICC who have developed resistance to FGFR inhibitors. We believe this differentiation will enable us to expand into multiple cohorts of FGFR2/3-driven cancer including patients naïve to FGFR inhibitors, tumor agnostic populations, as well as patients with other tumors driven by FGFR2/3 alterations. We</w:t>
      </w:r>
    </w:p>
    <w:p>
      <w:pPr>
        <w:spacing w:after="0" w:line="2" w:lineRule="exact"/>
        <w:rPr>
          <w:sz w:val="20"/>
          <w:szCs w:val="20"/>
          <w:color w:val="auto"/>
        </w:rPr>
      </w:pPr>
    </w:p>
    <w:p>
      <w:pPr>
        <w:ind w:left="1420"/>
        <w:spacing w:after="0"/>
        <w:tabs>
          <w:tab w:leader="none" w:pos="6960" w:val="left"/>
        </w:tabs>
        <w:rPr>
          <w:sz w:val="20"/>
          <w:szCs w:val="20"/>
          <w:color w:val="auto"/>
        </w:rPr>
      </w:pPr>
      <w:r>
        <w:rPr>
          <w:rFonts w:ascii="Arial" w:cs="Arial" w:eastAsia="Arial" w:hAnsi="Arial"/>
          <w:sz w:val="18"/>
          <w:szCs w:val="18"/>
          <w:color w:val="auto"/>
        </w:rPr>
        <w:t>anticipate filing an IND for our lead product candidate TYRA-300 in</w:t>
      </w:r>
      <w:r>
        <w:rPr>
          <w:sz w:val="20"/>
          <w:szCs w:val="20"/>
          <w:color w:val="auto"/>
        </w:rPr>
        <w:tab/>
      </w:r>
      <w:r>
        <w:rPr>
          <w:rFonts w:ascii="Arial" w:cs="Arial" w:eastAsia="Arial" w:hAnsi="Arial"/>
          <w:sz w:val="18"/>
          <w:szCs w:val="18"/>
          <w:color w:val="auto"/>
        </w:rPr>
        <w:t>.</w:t>
      </w:r>
    </w:p>
    <w:p>
      <w:pPr>
        <w:spacing w:after="0" w:line="234" w:lineRule="exact"/>
        <w:rPr>
          <w:sz w:val="20"/>
          <w:szCs w:val="20"/>
          <w:color w:val="auto"/>
        </w:rPr>
      </w:pPr>
    </w:p>
    <w:p>
      <w:pPr>
        <w:ind w:left="1420" w:right="20" w:hanging="319"/>
        <w:spacing w:after="0" w:line="273" w:lineRule="auto"/>
        <w:tabs>
          <w:tab w:leader="none" w:pos="142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Harness the strength of our SNÅP platform to rapidly develop additional next-generation precision therapies</w:t>
      </w:r>
      <w:r>
        <w:rPr>
          <w:rFonts w:ascii="Arial" w:cs="Arial" w:eastAsia="Arial" w:hAnsi="Arial"/>
          <w:sz w:val="17"/>
          <w:szCs w:val="17"/>
          <w:color w:val="auto"/>
        </w:rPr>
        <w:t>. We believe our</w:t>
      </w:r>
      <w:r>
        <w:rPr>
          <w:rFonts w:ascii="Arial" w:cs="Arial" w:eastAsia="Arial" w:hAnsi="Arial"/>
          <w:sz w:val="17"/>
          <w:szCs w:val="17"/>
          <w:b w:val="1"/>
          <w:bCs w:val="1"/>
          <w:color w:val="auto"/>
        </w:rPr>
        <w:t xml:space="preserve"> </w:t>
      </w:r>
      <w:r>
        <w:rPr>
          <w:rFonts w:ascii="Arial" w:cs="Arial" w:eastAsia="Arial" w:hAnsi="Arial"/>
          <w:sz w:val="17"/>
          <w:szCs w:val="17"/>
          <w:color w:val="auto"/>
        </w:rPr>
        <w:t>SNÅP platform has disrupted the conventional process used to discover differentiated product candidates, resulting in what we believe is a significantly condensed time frame. Leveraging our SNÅP platform, we have rapidly developed an expanding pipeline of product candidates since our founding in August 2018. Although our initial focus has been on a specific set of drug targets, our SNÅP platform can be extended to multiple gene families and therapeutic areas. We plan to leverage our SNÅP platform to expand our pipeline with additional oncology and non-oncology indications where there is high unmet need, with an initial focus on our three discovery stage programs in FGFR3-related achondroplasia and RET- and FGFR4-related cancers.</w:t>
      </w:r>
    </w:p>
    <w:p>
      <w:pPr>
        <w:spacing w:after="0" w:line="198" w:lineRule="exact"/>
        <w:rPr>
          <w:rFonts w:ascii="Arial" w:cs="Arial" w:eastAsia="Arial" w:hAnsi="Arial"/>
          <w:sz w:val="17"/>
          <w:szCs w:val="17"/>
          <w:color w:val="auto"/>
        </w:rPr>
      </w:pPr>
    </w:p>
    <w:p>
      <w:pPr>
        <w:ind w:left="1420" w:right="60" w:hanging="319"/>
        <w:spacing w:after="0" w:line="254"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Leverage the recent advances in the precision oncology landscape to potentially expedite our product candidates’ development. </w:t>
      </w:r>
      <w:r>
        <w:rPr>
          <w:rFonts w:ascii="Arial" w:cs="Arial" w:eastAsia="Arial" w:hAnsi="Arial"/>
          <w:sz w:val="18"/>
          <w:szCs w:val="18"/>
          <w:color w:val="auto"/>
        </w:rPr>
        <w:t>There have been multiple recent accelerated approvals by the FDA of targeted therapies on the basis of compelling</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outcomes from single-arm dose expansion cohort clinical trials. Recent accelerated approvals have been conditionally granted in as little as three years from initial clinical testing. Although the exact clinical development and regulatory path for our product candidates has not been defined, subject to consultation with the FDA, we intend to leverage the precedent pathways used by recently approved precision oncology drugs to inform our clinical and regulatory decisions and pathway to potentially seek expedited regulatory approval, if we are successful in the clinical development, of one or more of our product candidates. However, we have not filed an IND for any of our product candidates, nor have we applied for accelerated approval by the FDA, and as a result, there can be no assurance that 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spacing w:after="0" w:line="296" w:lineRule="auto"/>
        <w:rPr>
          <w:sz w:val="20"/>
          <w:szCs w:val="20"/>
          <w:color w:val="auto"/>
        </w:rPr>
      </w:pPr>
      <w:r>
        <w:rPr>
          <w:rFonts w:ascii="Arial" w:cs="Arial" w:eastAsia="Arial" w:hAnsi="Arial"/>
          <w:sz w:val="16"/>
          <w:szCs w:val="16"/>
          <w:color w:val="auto"/>
        </w:rPr>
        <w:t>accelerated pathway will be available for us or that it will lead to a faster development process or a faster regulatory review. While an accelerated pathway may potentially expedite development or the approval process, it does not change the FDA’s standards of approval or increase the likelihood that a product candidate will receive approval. In addition, advances in next-generation genomic sequencing continue to help physicians and their patients identify the mutations responsible for their cancer. We believe this may assist us in identifying and enrolling patients, thereby allowing us to accelerate the development timeline of our product candidates.</w:t>
      </w:r>
    </w:p>
    <w:p>
      <w:pPr>
        <w:spacing w:after="0" w:line="184" w:lineRule="exact"/>
        <w:rPr>
          <w:sz w:val="20"/>
          <w:szCs w:val="20"/>
          <w:color w:val="auto"/>
        </w:rPr>
      </w:pPr>
    </w:p>
    <w:p>
      <w:pPr>
        <w:ind w:left="1420" w:hanging="319"/>
        <w:spacing w:after="0" w:line="254"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Maximize the value of our product candidates across multiple therapeutic areas through accelerated development and potential partnerships</w:t>
      </w:r>
      <w:r>
        <w:rPr>
          <w:rFonts w:ascii="Arial" w:cs="Arial" w:eastAsia="Arial" w:hAnsi="Arial"/>
          <w:sz w:val="18"/>
          <w:szCs w:val="18"/>
          <w:color w:val="auto"/>
        </w:rPr>
        <w:t>. We believe that our ability to generate product candidates with improved selectivity for the target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the possibility of designing and developing product candidates for indications outside of oncology. Specifically, we believe we can apply our SNÅP platform to targets, such as FGFR3, that have data validating their role in the pathogenesis of diseases, including achondroplasia and other skeletal diseases. We currently retain worldwide rights to all of our product candidates. We will consider entering into compound, target or geographic specific strategic partnerships on an opportunistic basis, especially for programs outside of oncology, if we believe that such a partnership can accelerate the development and/or maximize the market potential of a product candidate.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Protein kinase inhibitors in cancer and the challenge posed by acquired drug resistance</w:t>
      </w:r>
    </w:p>
    <w:p>
      <w:pPr>
        <w:spacing w:after="0" w:line="229"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Receptor tyrosine kinases, or RTKs, are a family of proteins that respond to external growth factors affecting cell proliferation. In cancer, RTKs can be constitutively activated though gain-of-function mutations or gene rearrangements, driving tumor growth. Protein kinase inhibitors are a class of targeted therapies that can effectively block protein kinase signaling and cause tumor regression. These targeted therapies have delivered profound therapeutic benefits in the treatment of cancer. As of 2020, there were 55 FDA-approved protein kinase inhibitors for the treatment of cancer, targeting about two dozen different protein kinases. Despite the success of these drugs, they have been susceptible to acquired drug resistance and reduction of effect, leaving patients with limited or no treatment options. In particular, these current or first generation kinase inhibitors lose potency in response to mutations that prevent the drug from binding to the target protein, allowing the kinase to continue to function resulting in continued tumor growth. This mutation, and resulting loss of potency from these kinase inhibitors, results in the patient’s cancer becoming refractory to treatment and the patient regressing.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151130</wp:posOffset>
            </wp:positionV>
            <wp:extent cx="5074920" cy="1791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7492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 of RTK activating mutations and acquired drug resistance mutations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Development of acquired drug resistance to kinase inhibitors is common among protein kinases. Acquired on-target resistance has emerged in nearly every validated target, including FGFR, RET, epidermal growth factor receptor, or EGFR, anaplastic lymphoma kinase, or ALK, KIT, neurotrophic tropomyosin receptor kinase, or NTRK, ROS1 and mesenchymal epithelial transition factor, or MET. These key resistance mutations can be generally grouped into four classes:</w:t>
      </w:r>
    </w:p>
    <w:p>
      <w:pPr>
        <w:spacing w:after="0" w:line="210" w:lineRule="exact"/>
        <w:rPr>
          <w:sz w:val="20"/>
          <w:szCs w:val="20"/>
          <w:color w:val="auto"/>
        </w:rPr>
      </w:pPr>
    </w:p>
    <w:p>
      <w:pPr>
        <w:jc w:val="both"/>
        <w:ind w:left="1420" w:right="140" w:hanging="319"/>
        <w:spacing w:after="0" w:line="266"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Gatekeeper. </w:t>
      </w:r>
      <w:r>
        <w:rPr>
          <w:rFonts w:ascii="Arial" w:cs="Arial" w:eastAsia="Arial" w:hAnsi="Arial"/>
          <w:sz w:val="18"/>
          <w:szCs w:val="18"/>
          <w:color w:val="auto"/>
        </w:rPr>
        <w:t>Mutations such as BCL-ABL T315I and EGFR T790M are known as gatekeeper mutations because they are found at a</w:t>
      </w:r>
      <w:r>
        <w:rPr>
          <w:rFonts w:ascii="Arial" w:cs="Arial" w:eastAsia="Arial" w:hAnsi="Arial"/>
          <w:sz w:val="18"/>
          <w:szCs w:val="18"/>
          <w:b w:val="1"/>
          <w:bCs w:val="1"/>
          <w:color w:val="auto"/>
        </w:rPr>
        <w:t xml:space="preserve"> </w:t>
      </w:r>
      <w:r>
        <w:rPr>
          <w:rFonts w:ascii="Arial" w:cs="Arial" w:eastAsia="Arial" w:hAnsi="Arial"/>
          <w:sz w:val="18"/>
          <w:szCs w:val="18"/>
          <w:color w:val="auto"/>
        </w:rPr>
        <w:t>key location at the entrance to a hydrophobic pocket in the back of the adenosine triphosphate, or ATP, binding site that many kinase inhibitors access to increase potency and obtain specificity.</w:t>
      </w:r>
    </w:p>
    <w:p>
      <w:pPr>
        <w:spacing w:after="0" w:line="202" w:lineRule="exact"/>
        <w:rPr>
          <w:rFonts w:ascii="Arial" w:cs="Arial" w:eastAsia="Arial" w:hAnsi="Arial"/>
          <w:sz w:val="18"/>
          <w:szCs w:val="18"/>
          <w:color w:val="auto"/>
        </w:rPr>
      </w:pPr>
    </w:p>
    <w:p>
      <w:pPr>
        <w:ind w:left="1420" w:right="80" w:hanging="319"/>
        <w:spacing w:after="0" w:line="266"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Molecular brake. </w:t>
      </w:r>
      <w:r>
        <w:rPr>
          <w:rFonts w:ascii="Arial" w:cs="Arial" w:eastAsia="Arial" w:hAnsi="Arial"/>
          <w:sz w:val="18"/>
          <w:szCs w:val="18"/>
          <w:color w:val="auto"/>
        </w:rPr>
        <w:t>Activating mutations in the kinase domain of RTKs are associated with the development of many forms of cancer.</w:t>
      </w:r>
      <w:r>
        <w:rPr>
          <w:rFonts w:ascii="Arial" w:cs="Arial" w:eastAsia="Arial" w:hAnsi="Arial"/>
          <w:sz w:val="18"/>
          <w:szCs w:val="18"/>
          <w:b w:val="1"/>
          <w:bCs w:val="1"/>
          <w:color w:val="auto"/>
        </w:rPr>
        <w:t xml:space="preserve"> </w:t>
      </w:r>
      <w:r>
        <w:rPr>
          <w:rFonts w:ascii="Arial" w:cs="Arial" w:eastAsia="Arial" w:hAnsi="Arial"/>
          <w:sz w:val="18"/>
          <w:szCs w:val="18"/>
          <w:color w:val="auto"/>
        </w:rPr>
        <w:t>A number of these mutations cluster in a hinge region of the kinase structure, resulting in kinase activation by disengaging a highly conserved region referred to as a molecular brake.</w:t>
      </w:r>
    </w:p>
    <w:p>
      <w:pPr>
        <w:spacing w:after="0" w:line="202" w:lineRule="exact"/>
        <w:rPr>
          <w:rFonts w:ascii="Arial" w:cs="Arial" w:eastAsia="Arial" w:hAnsi="Arial"/>
          <w:sz w:val="18"/>
          <w:szCs w:val="18"/>
          <w:color w:val="auto"/>
        </w:rPr>
      </w:pPr>
    </w:p>
    <w:p>
      <w:pPr>
        <w:ind w:left="1420" w:right="100" w:hanging="319"/>
        <w:spacing w:after="0" w:line="266"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Cys mutant. </w:t>
      </w:r>
      <w:r>
        <w:rPr>
          <w:rFonts w:ascii="Arial" w:cs="Arial" w:eastAsia="Arial" w:hAnsi="Arial"/>
          <w:sz w:val="18"/>
          <w:szCs w:val="18"/>
          <w:color w:val="auto"/>
        </w:rPr>
        <w:t>Irreversible kinase inhibitors, such as TAGRISSO</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(osimertinib), typically covalently attach to cysteine residues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kinase active site. EGFR C797S and corresponding mutations in cysteine residues of other kinases prevent binding and block the activity of these inhibitors.</w:t>
      </w:r>
    </w:p>
    <w:p>
      <w:pPr>
        <w:spacing w:after="0" w:line="202" w:lineRule="exact"/>
        <w:rPr>
          <w:rFonts w:ascii="Arial" w:cs="Arial" w:eastAsia="Arial" w:hAnsi="Arial"/>
          <w:sz w:val="18"/>
          <w:szCs w:val="18"/>
          <w:color w:val="auto"/>
        </w:rPr>
      </w:pPr>
    </w:p>
    <w:p>
      <w:pPr>
        <w:ind w:left="1420" w:right="180" w:hanging="319"/>
        <w:spacing w:after="0" w:line="347" w:lineRule="auto"/>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Solvent front. </w:t>
      </w:r>
      <w:r>
        <w:rPr>
          <w:rFonts w:ascii="Arial" w:cs="Arial" w:eastAsia="Arial" w:hAnsi="Arial"/>
          <w:sz w:val="16"/>
          <w:szCs w:val="16"/>
          <w:color w:val="auto"/>
        </w:rPr>
        <w:t>Certain kinase inhibitors obtain their specificity by interacting with amino acid residues located at the opening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ATP binding site to solvent. Mutations in these residues that lead to drug resistance are referred to as solvent front mutations.</w:t>
      </w:r>
    </w:p>
    <w:p>
      <w:pPr>
        <w:spacing w:after="0" w:line="120"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The rapid rise of mutations that enable tumors to become resistant to previous generations of kinase inhibitors poses a challenge to drug developers, one that we believe will demand innovation for a long time to come.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 success of next-generation kinase inhibitors</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Osimertinib is an example of how a next-generation kinase inhibitor can not only overcome the limitations of acquired drug resistance to first generation therapies, but also demonstrate broader applicability across different lines of therapies. While first generation epidermal growth factor receptor, or EGFR, inhibitors, such as IRESSA</w:t>
      </w:r>
      <w:r>
        <w:rPr>
          <w:rFonts w:ascii="Arial" w:cs="Arial" w:eastAsia="Arial" w:hAnsi="Arial"/>
          <w:sz w:val="14"/>
          <w:szCs w:val="14"/>
          <w:color w:val="auto"/>
        </w:rPr>
        <w:t>®</w:t>
      </w:r>
      <w:r>
        <w:rPr>
          <w:rFonts w:ascii="Arial" w:cs="Arial" w:eastAsia="Arial" w:hAnsi="Arial"/>
          <w:sz w:val="17"/>
          <w:szCs w:val="17"/>
          <w:color w:val="auto"/>
        </w:rPr>
        <w:t xml:space="preserve"> (gefitinib) and Tarceva</w:t>
      </w:r>
      <w:r>
        <w:rPr>
          <w:rFonts w:ascii="Arial" w:cs="Arial" w:eastAsia="Arial" w:hAnsi="Arial"/>
          <w:sz w:val="14"/>
          <w:szCs w:val="14"/>
          <w:color w:val="auto"/>
        </w:rPr>
        <w:t>®</w:t>
      </w:r>
      <w:r>
        <w:rPr>
          <w:rFonts w:ascii="Arial" w:cs="Arial" w:eastAsia="Arial" w:hAnsi="Arial"/>
          <w:sz w:val="17"/>
          <w:szCs w:val="17"/>
          <w:color w:val="auto"/>
        </w:rPr>
        <w:t xml:space="preserve"> (erlotinib), led to significant improvements in tolerability compared to standard of care chemotherapy, on average, tumor responses last only six to twelve months before disease progression. About 50% of treated patients developed drug resistance due to a gatekeeper mutation at T790M. Osimertinib’s ability to overcome this key gatekeeper mutation, which limited the duration of efficacy of first generation EGFR inhibitors has contributed to osimertinib realizing sales of double the amount of the peak sales achieved by the two first generation inhibitors in 2013. In addition to its ability to overcome the gatekeeper mutation, osimertinib also displayed higher mutant selectivity and other performance enhancements resulting in greater tolerability, safety and efficacy. When used earlier in treatment, osimertinib nearly doubled progression-free survival compared to gefitinib or erlotinib with a better overall safety profile.</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20999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9493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Illustration of osimertinib overcoming gatekeeper mutations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FGFR gene alterations and cancer</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FGFR family consists of four highly conserved RTKs, FGFR1-4. These receptors regulate a variety of cellular functions, including proliferation, differentiation and survival. Genomic alterations in FGFR family members occur in approximately 7% of all human cancers, representing about 126,000 new cases a year. These genomic alterations, many of which lead to increased FGFR activity, have been found in cancers throughout the body, as shown in the figure below. The highest FGFR alteration frequencies are seen in urothelial cancer, ICC, endometrial cancer, lung cancers, breast cancer and cervical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145415</wp:posOffset>
            </wp:positionV>
            <wp:extent cx="4654550" cy="17227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5455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Alterations in FGFR are found in cancers throughout the body</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Three FGFR targeted therapies have been approved by the FDA: erdafitinib for locally advanced or metastatic urothelial carcinoma, or bladder cancer, and pemigatinib and infigratinib for FGFR2-fusion positive ICC. These inhibitors have demonstrated clinical benefit, however response rates and duration of response are limited. While patients may initially respond to FGFR targeted therapies, many develop acquired drug resistance, ultimately resulting in disease progression and discontinuation of therapy. Decreased activity of erdafitinib and pemigatinib due to resistance mutations that alter their ability to bind to the active site, such as gatekeeper mutations, has been observed. Gatekeeper mutations have also been seen in patients in a clinical trial treated with infigratinib while acquired-resistance molecular brake mutations have been seen in patients in clinical trials of both pemigatinib and infigratinib.</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and Solution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SNÅP platform</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 xml:space="preserve">We developed our proprietary SNÅP platform to efficiently identify and selectively target vulnerabilities in the mutant proteins where genetic alterations have eliminated or reduced the effectiveness of current targeted therapies. Our SNÅP platform is driven by our ability to rapidly and concurrently generate iterative data from three key pillars. Rapid generation of crystallographic data, use of custom cell-based assays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comprise the three pillars of our platform. We leverage our platform to identify and develop product candidates that may have the potency and selectivity to address the liabilities that acquired drug resistance has created for other therapies. Collectively, our efforts to optimize and integrate these three pillars in parallel have enabled us to condense our design cycles and more quickly develop high quality, differentiated product candidates.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Rapid generation of crystallographic data</w:t>
      </w:r>
    </w:p>
    <w:p>
      <w:pPr>
        <w:spacing w:after="0" w:line="22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We have streamlined the use of protein crystallography for visualizing the interaction of our potential product candidates with binding pockets of protein kinases. Through our proprietary methods, we can rapidly induce crystal formation and enhance crystal durability. Together, this reduces the time required to generate new crystal structures. We routinely generate co-crystal structures on newly synthesized compounds in as little as three days, a pace that allows us to continually refresh and, we believe, improve our insights into the features and structures that enable us to discover compounds that are potent and selective inhibitors of our targets. In the last year alone, we generated over 120 crystal structures. The rapid and iterative nature of our proprietary approach also allows us to address known mutations and potentially avoid future mutations.</w:t>
      </w:r>
    </w:p>
    <w:p>
      <w:pPr>
        <w:spacing w:after="0" w:line="164"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 xml:space="preserve">While conventional discovery approaches prioritize computational simulations based on a small number of structures or structural models, we believe the ability to generate a large amount of empirical data obtained from many protein crystal structures is more informative and allows us to better design our product candidates. We are able to sustain rapid crystallography throughput, enabling the generation of graphical images of protein structures with and without bound inhibitors that, when combined with enzyme, cell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assays, comprise molecular SNÅPshots. These structures show the exact binding conformation of small molecules to our protein targets as well as the variations in protein structure that they induce at a resolution down to a single tenth of an angstrom (Å). We iterate rapidly between the wet lab and the crystallography lab and believe that the resulting datasets provide us with robust empirical data more quickly relative to conventional approaches as we seek innovative compounds that can potentially overcome acquired drug resistance seen with other kinase inhibitors.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205740</wp:posOffset>
            </wp:positionV>
            <wp:extent cx="5074920" cy="2194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7492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We capture variations in ligand-protein interactions by generating molecular SNÅPshots of many ligands</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i w:val="1"/>
          <w:iCs w:val="1"/>
          <w:color w:val="auto"/>
        </w:rPr>
        <w:t>This figure shows several structures of the same protein, which has been co-crystallized with different inhibitors. Certain regions of the protein, shown as dark gray loops, assume different conformations in the presence of different ligands. The plasticity of the protein revealed by these structures informs our drug design.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 cell-based assays</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Determining the potency, selectively and cytotoxicity of our compounds early through custom cell-based assays allows us to rapidly evaluate, design and optimize our potential product candidates. The cell-based assays we use are a combination of cell lines derived from naturally occurring tumors and treatment-resistant tumors as well as engineered cell lines in which specific kinases or kinase mutations are introduced to create panels of isogenic cells. By providing direct evidence of cell penetration and target engagement, we believe these assays yield more meaningful information about the potential of our compounds compared to the artificial system of purified proteins used in standard enzymological screens. While we also assess the potency and selectivity of our compounds using enzyme assays, these assays primarily serve to provide concordance to the validity of our cell-based assays. As a result, these cellular systems are our primary screening tools to progress our potential product candidates. We are able to run newly synthesized compounds through these cell-based assays in as little as two days, helping to drive a rapid, iterative drug design cycle.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 vivo models</w:t>
      </w:r>
    </w:p>
    <w:p>
      <w:pPr>
        <w:spacing w:after="0" w:line="225"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 xml:space="preserve">The ability to rapidly assess the potential of our compounds through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to determine their pharmacokinetic/pharmacodynamic parameters in addition to their target-specific antitumor activity is paramount. We establish and validate the majority of our models in-house, which allows us to rapidly test new compounds and to collect actionable data in as little as five days. We feed this information back into our design cycle, allowing us to condense the traditional drug discovery timeline, prior to commencing clinical development.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tight compound design, synthesis and testing loop</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 xml:space="preserve">Our philosophy is to execute activities such as obtaining crystal structures, assaying for cellular activity and generating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not as a set of sequential steps, but rather in concurrence in order to save time. Whereas more traditional drug discovery efforts may rely upon the availability of crystallographic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 data at monthly intervals, we strive to generate this data on a weekly basis. We do not wait to determine if a compound passes a potency test in a cell-based assay before evaluating it in other assays, with the explicit understanding that there is key knowledge to be gained from compounds that are not as potent as expected.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205740</wp:posOffset>
            </wp:positionV>
            <wp:extent cx="5074920" cy="1431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7492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60" w:right="140"/>
        <w:spacing w:after="0" w:line="282" w:lineRule="auto"/>
        <w:rPr>
          <w:sz w:val="20"/>
          <w:szCs w:val="20"/>
          <w:color w:val="auto"/>
        </w:rPr>
      </w:pPr>
      <w:r>
        <w:rPr>
          <w:rFonts w:ascii="Arial" w:cs="Arial" w:eastAsia="Arial" w:hAnsi="Arial"/>
          <w:sz w:val="18"/>
          <w:szCs w:val="18"/>
          <w:b w:val="1"/>
          <w:bCs w:val="1"/>
          <w:color w:val="auto"/>
        </w:rPr>
        <w:t>Our synchronized and compressed data generation cycle time allows us to accelerate drug discovery by allowing the execution of more drug design cycles in a fixed amount of time</w:t>
      </w:r>
    </w:p>
    <w:p>
      <w:pPr>
        <w:spacing w:after="0" w:line="16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ever-growing understanding of protein and inhibitor interactions, deepened by the crystal structures we continue to generate, provides insights that we leverage in product candidate engineering. We combine these potency and selectivity predictions with metabolic stability, bioavailability and pharmacokinetics data to design small molecules with the chemical properties required to become potential product candidates. In a single weekly drug discovery cycle, we profile newly synthesized compounds as follows.</w:t>
      </w:r>
    </w:p>
    <w:p>
      <w:pPr>
        <w:spacing w:after="0" w:line="214" w:lineRule="exact"/>
        <w:rPr>
          <w:sz w:val="20"/>
          <w:szCs w:val="20"/>
          <w:color w:val="auto"/>
        </w:rPr>
      </w:pPr>
    </w:p>
    <w:p>
      <w:pPr>
        <w:ind w:left="1420" w:hanging="427"/>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Generating a crystal structure with a target protein in as little as three days.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Evaluating activity in ‘on-target’ and ‘off-target’ cell-based assays in as little as two days.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Measuring tumor growth inhibition, or TGI, of newly synthesized compounds in as little as five days.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Taken together, the high-resolution structural data and preclinical experiments inform new chemistry designs that are rapidly synthesized for evaluation in our next weekly drug discovery cycle. This process, enabled by trade-secrets and proprietary engineered assays, comprises our SNÅP platform. Our highly experienced team of medicinal chemists efficiently utilizes our platform to rapidly synthesize compounds designed to further optimize potency and selectivity, among other properties, while avoiding interactions with mutations which are known to induce drug resistance to other kinase inhibitors.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205740</wp:posOffset>
            </wp:positionV>
            <wp:extent cx="4208780" cy="2802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087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SNÅP platform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Targeted Oncology</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Targeted oncology therapies approved by the FDA in the past three years have received their initial approvals in as little as three years after their first-in-human dosing began. FDA guidance notes that the agency has at times accepted data from single-arm clinical trials as substantial evidence for accelerated approvals of oncology therapies. Based on these precedents, subject to consultation with the FDA, we believe that our product candidates may be eligible for accelerated approval by the FDA should they demonstrate appropriate safety and efficacy in our clinical trials. However, we have not filed an IND for any of our product candidates, nor have we applied for accelerated approval by the FDA, and as a result, there can be no assurance that an accelerated pathway will be available for us or that it will lead to a faster development process or a faster regulatory review. While an accelerated pathway may potentially expedite development or the approval process, it does not change the FDA’s standards of approval or increase the likelihood that a product candidate will receive approval.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205740</wp:posOffset>
            </wp:positionV>
            <wp:extent cx="5074920" cy="30518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7492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Approval of targeted oncology therapies in the past three years has been granted in as little as three years from initial testing in the clinic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FGFR3 Program—TYRA-300 Program</w:t>
      </w:r>
    </w:p>
    <w:p>
      <w:pPr>
        <w:spacing w:after="0" w:line="229"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 xml:space="preserve">We are developing TYRA-300, a selective inhibitor of FGFR3, for the treatment of FGFR3-driven cancers initially for patients with bladder cancer who are resistant to FGFR therapies. Resistance to approved and investigational FGFR inhibitors has been shown to arise due to mutations in the gatekeeper region of FGFR3. We have designed TYRA-300 to avoid this region of FGFR3 and, in preclinical models to date, TYRA-300 has demonstrated similar potency against both wild-type and resistant FGFR3 targets. We believe this differentiation will enable us to expand into multiple cohorts of FGFR3-driven cancer including patients naïve to FGFR therapy, tumor agnostic populations, as well as patients with high-risk NMIBC. Although no head-to-head clinical trials have been conducted, we believe the use of comparative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from pre-clinical studies provides meaningful insight into the potential for our product candidates to improve on certain characteristics of approved and investigational FGFR inhibitors, and helps inform potential future clinical development of our product candidates. We anticipate filing an IND for TYRA-300 with the FDA in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Bladder cancer disease background</w:t>
      </w:r>
    </w:p>
    <w:p>
      <w:pPr>
        <w:spacing w:after="0" w:line="229" w:lineRule="exact"/>
        <w:rPr>
          <w:sz w:val="20"/>
          <w:szCs w:val="20"/>
          <w:color w:val="auto"/>
        </w:rPr>
      </w:pPr>
    </w:p>
    <w:p>
      <w:pPr>
        <w:jc w:val="both"/>
        <w:ind w:left="120" w:right="140" w:firstLine="881"/>
        <w:spacing w:after="0" w:line="301" w:lineRule="auto"/>
        <w:rPr>
          <w:sz w:val="20"/>
          <w:szCs w:val="20"/>
          <w:color w:val="auto"/>
        </w:rPr>
      </w:pPr>
      <w:r>
        <w:rPr>
          <w:rFonts w:ascii="Arial" w:cs="Arial" w:eastAsia="Arial" w:hAnsi="Arial"/>
          <w:sz w:val="16"/>
          <w:szCs w:val="16"/>
          <w:color w:val="auto"/>
        </w:rPr>
        <w:t>Bladder cancer is the most common malignancy involving the genitourinary system. Patients with bladder cancer classically present with painless blood in the urine. However, because this symptom is similar to those of benign disorders, such as urinary tract infections, cystitis, prostatitis and the passage of kidney stones, diagnosis of bladder cancer can take time as these other, more common, conditions are ruled out. Delays in diagnosis can lead to worsened outcomes due to the presence of more advanced stage disease by the time a diagnosis of bladder cancer is made.</w:t>
      </w:r>
    </w:p>
    <w:p>
      <w:pPr>
        <w:spacing w:after="0" w:line="157"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An estimated 83,730 new cases of bladder cancer and 17,200 deaths are projected for 2021 in the United States. Globally, bladder cancer accounted for approximately 550,000 cases and 200,000 deaths in 2018. Bladder cancer is classified into two broad categories: NMIBC where the cancer is restricted to surface lining of the bladder; and MIBC, which is a cancer that has grown deeper into the bladder wall and has a higher potential to spread beyond the bladder. Approximately 30% of newly diagnosed cases of bladder cancer are MIBC. Of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remaining 70% of new diagnoses of bladder cancer that are NMIBC cases, an estimated 10 to 15% progress to MIBC. Whereas the five-year survival for early stage NMIBC is 96%, it falls to 6.4% for metastatic MIBC.</w:t>
      </w:r>
    </w:p>
    <w:p>
      <w:pPr>
        <w:spacing w:after="0" w:line="170"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FGFR3 is a protein receptor expressed on the cell surface that stimulates cellular proliferation upon binding of fibroblast growth factor. Uncontrolled activation of FGFR3 has been implicated in the oncogenesis of multiple solid tumor types. The incidence of activating FGFR3 mutations in bladder cancer has been estimated to be as high as 75% in NMIBCs and up to 20% of MIBC making FGFR3 an attractive target for development.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therapies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Standard of care and current limitations for the treatment of locally advanced or metastatic MIBC</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Patients suffering from locally advanced or metastatic MIBC have limited treatment options and there continues to be a high unmet need. These options come with significant toxicities, lack of durable response and potential diminished quality of life. The initial standard treatment for patients is typically platinum-based chemotherapy with cisplatin (or carboplatin) in combination with gemcitabine. Unfortunately, the median overall survival for patients treated with chemotherapy is only 12.7 months. Following chemotherapy, patients may receive immunotherapies, such as BAVENCIO</w:t>
      </w:r>
      <w:r>
        <w:rPr>
          <w:rFonts w:ascii="Arial" w:cs="Arial" w:eastAsia="Arial" w:hAnsi="Arial"/>
          <w:sz w:val="13"/>
          <w:szCs w:val="13"/>
          <w:color w:val="auto"/>
        </w:rPr>
        <w:t>®</w:t>
      </w:r>
      <w:r>
        <w:rPr>
          <w:rFonts w:ascii="Arial" w:cs="Arial" w:eastAsia="Arial" w:hAnsi="Arial"/>
          <w:sz w:val="16"/>
          <w:szCs w:val="16"/>
          <w:color w:val="auto"/>
        </w:rPr>
        <w:t xml:space="preserve"> (avelumab) as maintenance therapy or KEYTRUDA</w:t>
      </w:r>
      <w:r>
        <w:rPr>
          <w:rFonts w:ascii="Arial" w:cs="Arial" w:eastAsia="Arial" w:hAnsi="Arial"/>
          <w:sz w:val="13"/>
          <w:szCs w:val="13"/>
          <w:color w:val="auto"/>
        </w:rPr>
        <w:t>®</w:t>
      </w:r>
      <w:r>
        <w:rPr>
          <w:rFonts w:ascii="Arial" w:cs="Arial" w:eastAsia="Arial" w:hAnsi="Arial"/>
          <w:sz w:val="16"/>
          <w:szCs w:val="16"/>
          <w:color w:val="auto"/>
        </w:rPr>
        <w:t xml:space="preserve"> (pembrolizumab) after progression on chemotherapy. Responses to immunotherapy are limited and overall survival for immunotherapy is 10.4 months on average. Alternatively, patients may also receive other chemotherapies, such as Taxotere</w:t>
      </w:r>
      <w:r>
        <w:rPr>
          <w:rFonts w:ascii="Arial" w:cs="Arial" w:eastAsia="Arial" w:hAnsi="Arial"/>
          <w:sz w:val="13"/>
          <w:szCs w:val="13"/>
          <w:color w:val="auto"/>
        </w:rPr>
        <w:t>®</w:t>
      </w:r>
      <w:r>
        <w:rPr>
          <w:rFonts w:ascii="Arial" w:cs="Arial" w:eastAsia="Arial" w:hAnsi="Arial"/>
          <w:sz w:val="16"/>
          <w:szCs w:val="16"/>
          <w:color w:val="auto"/>
        </w:rPr>
        <w:t xml:space="preserve"> (docetaxel), Taxol</w:t>
      </w:r>
      <w:r>
        <w:rPr>
          <w:rFonts w:ascii="Arial" w:cs="Arial" w:eastAsia="Arial" w:hAnsi="Arial"/>
          <w:sz w:val="13"/>
          <w:szCs w:val="13"/>
          <w:color w:val="auto"/>
        </w:rPr>
        <w:t>®</w:t>
      </w:r>
      <w:r>
        <w:rPr>
          <w:rFonts w:ascii="Arial" w:cs="Arial" w:eastAsia="Arial" w:hAnsi="Arial"/>
          <w:sz w:val="16"/>
          <w:szCs w:val="16"/>
          <w:color w:val="auto"/>
        </w:rPr>
        <w:t xml:space="preserve"> (paclitaxel), or Javlor</w:t>
      </w:r>
      <w:r>
        <w:rPr>
          <w:rFonts w:ascii="Arial" w:cs="Arial" w:eastAsia="Arial" w:hAnsi="Arial"/>
          <w:sz w:val="13"/>
          <w:szCs w:val="13"/>
          <w:color w:val="auto"/>
        </w:rPr>
        <w:t>®</w:t>
      </w:r>
      <w:r>
        <w:rPr>
          <w:rFonts w:ascii="Arial" w:cs="Arial" w:eastAsia="Arial" w:hAnsi="Arial"/>
          <w:sz w:val="16"/>
          <w:szCs w:val="16"/>
          <w:color w:val="auto"/>
        </w:rPr>
        <w:t xml:space="preserve"> (vinflunine) alone, however overall survival is typically no greater than 7 to 9 months in select patients. Recent Phase 3 data demonstrated that the antibody-drug conjugate PADCEV</w:t>
      </w:r>
      <w:r>
        <w:rPr>
          <w:rFonts w:ascii="Arial" w:cs="Arial" w:eastAsia="Arial" w:hAnsi="Arial"/>
          <w:sz w:val="13"/>
          <w:szCs w:val="13"/>
          <w:color w:val="auto"/>
        </w:rPr>
        <w:t>®</w:t>
      </w:r>
      <w:r>
        <w:rPr>
          <w:rFonts w:ascii="Arial" w:cs="Arial" w:eastAsia="Arial" w:hAnsi="Arial"/>
          <w:sz w:val="16"/>
          <w:szCs w:val="16"/>
          <w:color w:val="auto"/>
        </w:rPr>
        <w:t xml:space="preserve"> (enfortumab vendotin) improved overall survival to 12.8 months compared to chemotherapy following disease progression after initial chemotherapy and immunotherapy. The relativity low overall survival data comes with significant toxicities and we believe highlights the unmet need for therapies with greater efficacy and tolerability.</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Standard of care and current limitations for the treatment of localized MIBC</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Patients suffering from localized MIBC are potentially curable with surgery, which may include trans-urethral resection, or TURBT, partial cystectomy (partial removal of the bladder), or radical cystectomy (complete removal of the bladder and nearby lymph nodes) depending on the stage of the tumor. For those who are not physically able or willing to undergo surgery, localized radiation to the bladder is an option, but local recurrence rates are high, survival rates are no better than surgery, and few contemporary randomized studies have been performed comparing radiation and surgery in the same population of patients. TURBT and partial cystectomy are reserved for highly selected patients with earlier stage tumors, often combined with neoadjuvant chemoradiotherapy for those who are willing and able to tolerate such aggressive therapy. Despite these strict criteria, recurrence rates are high as high as 60% in some series. For the majority of patients who can have surgery, complete removal of the bladder and lymph nodes remains the only potentially curative treatment option. However, despite such a life altering operation, recurrence of metastatic disease is estimated to be 50%, highlighting the need for adjuvant therapies that can decrease the risk of recurrence. There are no currently approved therapies for the adjuvant treatment of patients following surgery for bladder cancer, though a number of immunotherapies are being studied in this setting. We believe that effective therapies that can reduce the rate of recurrence following surgery remains a high unmet need.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Standard of care and current limitations for the treatment of NMIBC</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NMIBC comprises the largest population of bladder cancer patients, representing 70-75% of cases diagnosed annually in the United States. Initial evaluation consists of local resection to confirm the diagnosis and establish the grade and stage of the tumor. The majority of cases are low grade lesions confined to the lining of the bladder. However, a significant proportion are considered high risk for recurrence. Treatment of NMIBC is directed at reducing recurrences and preventing progression to a more advanced stage. For low grade lesions, local resection with or without adjuvant Bacillus Calmette-Guerin, or BCG, and close follow up are usually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successful in curing the disease, whereas high risk lesions should be treated with either adjuvant BCG or radical cystectomy. Recurrence overall for NMIBC is 30-70%, but for high risk patients, 5-year recurrence rates are as high as 80%, with progression to muscle invasive disease in up to 50% of patients. An additional 10-15% will recur with metastatic disease. Following recurrence of NMIBC, few bladder-sparing options are available to prevent future recurrences and disease progression. For those with NMIBC that recur following BCG and are unable or refuse surgery may be treated with pembrolizumab, which was approved based on a complete response rate of 41% and a median duration of response of 16.2 months, highlighting the need for the majority of patients for additional treatment options.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FGFR Inhibitors</w:t>
      </w:r>
    </w:p>
    <w:p>
      <w:pPr>
        <w:spacing w:after="0" w:line="225"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Patients with genetic alterations in FGFR3 can be treated with FGFR inhibitors. Currently, the only FDA approved FGFR inhibitor for locally advanced or metastatic MIBC is erdafitinib, which received accelerated approval in the United States in 2019. In clinical trials, erdafitinib demonstrated a 32.2% overall response rate and a median duration of response of 5.4 months. We believe one of the key limitations to erdafitinib’s duration of response is the emergence of mutations like the gatekeeper mutation. In addition, this mutation may impact the efficacy of other first generation FGFR inhibitors such as infigratinib, pemigatinib and futibatinib. In a study of infigratinib and other FGFR inhibitors, the mutation that has been described in patients is the valine to methionine gatekeeper mutation at the position of FGFR3, which results in a significant shift in potency of all of the first generation FGFR inhibitors. Once patients progress due to acquired drug resistance, there are very few options available, representing a significant unmet need in this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147955</wp:posOffset>
            </wp:positionV>
            <wp:extent cx="5074920" cy="2091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7492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FGFR gatekeeper mutations block binding, resulting in a loss of potency in first generation FGFR inhibitors such as erdafitinib</w:t>
      </w:r>
    </w:p>
    <w:p>
      <w:pPr>
        <w:spacing w:after="0" w:line="24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Erdafitinib is a pan-FGFR inhibitor and due to its lack of selectivity there may be toxicities associated with the inhibition of FGFR receptors 1, 2 and 4. FGFR1 is expressed in kidney cells where it regulates phosphate and calcium reabsorption, and inhibition of FGFR1 results in hyperphosphatemia. Hyperphosphatemia was the dose-limiting toxicity and was reported in over 70% of patients in a clinical trial of erdafitinib. Hyperphosphatemia and other toxicities contributed to interruptions in 68% of patients and dose reductions in 53% of patients. We believe this is a key limitation of erdafitinib’s efficacy. A similarly high rate of FGFR-related toxicities has been reported in clinical trials of other non-isoform selective FGFR inhibitors including pemigatinib, infigratinib and futibatinib.</w:t>
      </w:r>
    </w:p>
    <w:p>
      <w:pPr>
        <w:spacing w:after="0" w:line="192"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Approximately 60-80% of NMIBC has been shown to carry FGFR3 gene alterations, the majority of which are activating point mutations. There are currently no approved therapies for FGFR3-driven NMIBC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patients who have recurred following adjuvant BCG therapy. FGFR inhibitors have the potential to be highly efficacious in NMIBC, as demonstrated by three complete responses in four clinical trial patients with NMIBC treated with infigratinib. However, toxicities associated with this pan-FGFR inhibitor in that trial resulted in poor tolerability and limited treatment duration, and the trial was terminated early. We believe a highly specific FGFR3-directed inhibitor, with minimal effects from other FGFR-related toxicities, could be highly efficacious and represents an attractive future market opportunity for our product candidate.</w:t>
      </w:r>
    </w:p>
    <w:p>
      <w:pPr>
        <w:spacing w:after="0" w:line="188"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believe the limitations of current standard of care therapies, as well as the liabilities of first generation FGFR inhibitors, necessitates a solution that can address this unmet need and improve patient outcomes.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solution, TYRA-300</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preclinical models to date, TYRA-300 has demonstrated potency against the gatekeeper mutation and selectivity for FGFR3. Although no head-to-head clinical studies have been conducted, we believe that these pre-clinical studies assist with the characterization of our product candidates and inform future clinical development.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 inhibition of FGFR3 mutants including gatekeeper mutations</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We utilized our SNÅP platform to design TYRA-300 to avoid any interactions with the gatekeeper region of FGFR3, which most other FGFR kinases rely on for potency. In a bladder cancer xenograft model, we observed that we could obtain FGFR3 potency roughly equivalent to that of erdafitinib, by targeting other parts of the kinase active site. Although no head-to-head clinical studies have been conducted, this design strategy provides what we believe is a key advantage in that FGFR3 proteins containing gatekeeper mutations, such as V555M, were inhibited by TYRA-300 with very similar potency to wild-type FGFR3. Other FGFR inhibitors were at least 30-fold less potent versus FGFR3 V555M.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137795</wp:posOffset>
            </wp:positionV>
            <wp:extent cx="5212080" cy="2091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TYRA-300 retained potency against multiple potential acquired drug resistance mutations in FGFR3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8312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TYRA-300 retained potency in a V555M CRISPR mutated RT112/84 immortalized cancer cell line</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 xml:space="preserve">The ability of TYRA-300 to maintain potency against the V555M gatekeeper mutation, as observed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conducted to date, was tested in a preclinical xenograft model containing an FGFR3 fusion, as seen in the figure below. TYRA-300, at a dose of 12.5 mg/kg twice daily, led to significant inhibition of tumor growth in this model. We also observed inhibition of tumor growth by erdafitinib at a dose of 12.5 mg/kg twice daily in this model. We engineered a gatekeeper mutation into the cell line used for this model. We observed 77% inhibition of tumor growth by TYRA-300 in xenografts using the cell line containing the gatekeeper mutation, while we observed 12% tumor growth inhibition in the gatekeeper xenograft treated with erdafitinib.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148590</wp:posOffset>
            </wp:positionV>
            <wp:extent cx="5074920" cy="29146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7492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TYRA-300 tumor growth inhibition was maintained in the presence of the FGFR3 V555M gatekeeper mutation in a RT-112/84 xenograft model</w:t>
      </w:r>
    </w:p>
    <w:p>
      <w:pPr>
        <w:spacing w:after="0" w:line="252" w:lineRule="exact"/>
        <w:rPr>
          <w:sz w:val="20"/>
          <w:szCs w:val="20"/>
          <w:color w:val="auto"/>
        </w:rPr>
      </w:pPr>
    </w:p>
    <w:p>
      <w:pPr>
        <w:jc w:val="center"/>
        <w:ind w:left="440"/>
        <w:spacing w:after="0" w:line="255" w:lineRule="auto"/>
        <w:rPr>
          <w:sz w:val="20"/>
          <w:szCs w:val="20"/>
          <w:color w:val="auto"/>
        </w:rPr>
      </w:pPr>
      <w:r>
        <w:rPr>
          <w:rFonts w:ascii="Arial" w:cs="Arial" w:eastAsia="Arial" w:hAnsi="Arial"/>
          <w:sz w:val="18"/>
          <w:szCs w:val="18"/>
          <w:i w:val="1"/>
          <w:iCs w:val="1"/>
          <w:color w:val="auto"/>
        </w:rPr>
        <w:t>Anti-tumor activity of TYRA-300 (95% TGI, upper left) and erdafitinib (73% TGI, lower left) dosed twice daily, or BID, by oral administration in the FGFR3::TACC3 fusion activating RT-112/84 bladder cancer xenograft model in Balb/c nude mice. Data points represent mean tumor volume (n=8 per group on left, n=6 per group on right) and error bars represent standard error of the mean. To test the effect of the gatekeeper mutation on tumor growth inhibition, we introduced the V555M mutation into the FGFR3::TACC3 fusion gene in the RT-112/84 cell line using CRISPR. Anti-tumor activity in this isogenic gatekeeper containing model was evaluated using TYRA-300 (77% TGI, upper right) and erdafitinib (12% TGI, lower right) dosed BID by oral administration.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 selectivity for FGFR3</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Designing inhibitors that bind to the ATP-binding site and can selectively differentiate between FGFR3 and FGFR1 is challenging due to the near-identical amino acid sequence in this site. We utilized the differentiated approach of our SNÅP platform to generate compounds, including TYRA-300, that capitalize on subtle conformational differences between FGFR3 and FGFR1 to obtain approximately ten-fold selectivity for FGFR3 versus FGFR1. In comparison, other FGFR inhibitors that are approved or in clinical development such as erdafitinib, pemigatinib, futibatinib and infigratinib, have demonstrated low or no selectivity for FGFR3. The high FGFR3-specificity that we observed to date for our potential product candidates for FGFR3 also extended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broader family of protein kinases, where we showed that very few kinases were inhibited by our potential product candidates. Although we have not conducted any head-to-head clinical studies, we believe that TYRA-300’s relative selectivity for FGFR3 observed in pre-clinical studies may address dose limiting toxicities of the first generation compounds, enabling higher dosing and potentially better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130810</wp:posOffset>
            </wp:positionV>
            <wp:extent cx="5057775" cy="1783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5777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TYRA-300 was highly selective for FGFR3 over other FGFR isoforms in a Ba/F3 cell-based assay</w:t>
      </w:r>
    </w:p>
    <w:p>
      <w:pPr>
        <w:spacing w:after="0" w:line="22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Beyond selectivity for FGFR3 relative to FGFR1, FGFR2 and FGFR4, TYRA-300 avoided off-target inhibition of other kinases when profiled in a scanMAX</w:t>
      </w:r>
      <w:r>
        <w:rPr>
          <w:rFonts w:ascii="Arial" w:cs="Arial" w:eastAsia="Arial" w:hAnsi="Arial"/>
          <w:sz w:val="15"/>
          <w:szCs w:val="15"/>
          <w:color w:val="auto"/>
        </w:rPr>
        <w:t>SM</w:t>
      </w:r>
      <w:r>
        <w:rPr>
          <w:rFonts w:ascii="Arial" w:cs="Arial" w:eastAsia="Arial" w:hAnsi="Arial"/>
          <w:sz w:val="18"/>
          <w:szCs w:val="18"/>
          <w:color w:val="auto"/>
        </w:rPr>
        <w:t xml:space="preserve"> (KINOMEscan)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134620</wp:posOffset>
            </wp:positionV>
            <wp:extent cx="5074920" cy="2322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7492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TYRA-300 was highly selective for FGFR3 over other protein kinases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 vivo activity of TYRA-300</w:t>
      </w:r>
    </w:p>
    <w:p>
      <w:pPr>
        <w:spacing w:after="0" w:line="225" w:lineRule="exact"/>
        <w:rPr>
          <w:sz w:val="20"/>
          <w:szCs w:val="20"/>
          <w:color w:val="auto"/>
        </w:rPr>
      </w:pPr>
    </w:p>
    <w:p>
      <w:pPr>
        <w:jc w:val="both"/>
        <w:ind w:left="120" w:right="240" w:firstLine="881"/>
        <w:spacing w:after="0" w:line="279" w:lineRule="auto"/>
        <w:rPr>
          <w:sz w:val="20"/>
          <w:szCs w:val="20"/>
          <w:color w:val="auto"/>
        </w:rPr>
      </w:pPr>
      <w:r>
        <w:rPr>
          <w:rFonts w:ascii="Arial" w:cs="Arial" w:eastAsia="Arial" w:hAnsi="Arial"/>
          <w:sz w:val="17"/>
          <w:szCs w:val="17"/>
          <w:color w:val="auto"/>
        </w:rPr>
        <w:t>In a xenograft model using a bladder cancer-derived cell line, treatment with TYRA-300 led to tumor regression at a dose of 12.5 mg/kg delivered twice a day, as seen in the figure below. Treatment with erdafitinib also resulted in tumor volume reduction at the same dose in this model. Because the human dosing of erdafitinib is limited by hyperphosphatemia we measured the plasma phosphate levels in male Sprague Dawley rats 24 hours after dosing. Plasma phosphate levels in TYRA-300 treated rats were not substantially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elevated at 10 mg/kg, 30 mg/kg, or 60 mg/kg doses, unlike the erdafitinib doses, as seen in the figure below. We believe TYRA-300 may be able to sustain higher doses without inducing hyperphosphatemia.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-19050</wp:posOffset>
            </wp:positionV>
            <wp:extent cx="3926205" cy="4225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26205"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TYRA-300 tumor growth inhibition in a UMUC-14 xenograft model</w:t>
      </w:r>
    </w:p>
    <w:p>
      <w:pPr>
        <w:spacing w:after="0" w:line="229" w:lineRule="exact"/>
        <w:rPr>
          <w:sz w:val="20"/>
          <w:szCs w:val="20"/>
          <w:color w:val="auto"/>
        </w:rPr>
      </w:pPr>
    </w:p>
    <w:p>
      <w:pPr>
        <w:jc w:val="center"/>
        <w:ind w:left="480"/>
        <w:spacing w:after="0" w:line="259" w:lineRule="auto"/>
        <w:rPr>
          <w:sz w:val="20"/>
          <w:szCs w:val="20"/>
          <w:color w:val="auto"/>
        </w:rPr>
      </w:pPr>
      <w:r>
        <w:rPr>
          <w:rFonts w:ascii="Arial" w:cs="Arial" w:eastAsia="Arial" w:hAnsi="Arial"/>
          <w:sz w:val="18"/>
          <w:szCs w:val="18"/>
          <w:i w:val="1"/>
          <w:iCs w:val="1"/>
          <w:color w:val="auto"/>
        </w:rPr>
        <w:t>Anti-tumor activity of TYRA-300 (</w:t>
      </w:r>
      <w:r>
        <w:rPr>
          <w:rFonts w:ascii="Arial" w:cs="Arial" w:eastAsia="Arial" w:hAnsi="Arial"/>
          <w:sz w:val="18"/>
          <w:szCs w:val="18"/>
          <w:color w:val="auto"/>
        </w:rPr>
        <w:t>upper</w:t>
      </w:r>
      <w:r>
        <w:rPr>
          <w:rFonts w:ascii="Arial" w:cs="Arial" w:eastAsia="Arial" w:hAnsi="Arial"/>
          <w:sz w:val="18"/>
          <w:szCs w:val="18"/>
          <w:i w:val="1"/>
          <w:iCs w:val="1"/>
          <w:color w:val="auto"/>
        </w:rPr>
        <w:t>) and erdafitinib (</w:t>
      </w:r>
      <w:r>
        <w:rPr>
          <w:rFonts w:ascii="Arial" w:cs="Arial" w:eastAsia="Arial" w:hAnsi="Arial"/>
          <w:sz w:val="18"/>
          <w:szCs w:val="18"/>
          <w:color w:val="auto"/>
        </w:rPr>
        <w:t>lower</w:t>
      </w:r>
      <w:r>
        <w:rPr>
          <w:rFonts w:ascii="Arial" w:cs="Arial" w:eastAsia="Arial" w:hAnsi="Arial"/>
          <w:sz w:val="18"/>
          <w:szCs w:val="18"/>
          <w:i w:val="1"/>
          <w:iCs w:val="1"/>
          <w:color w:val="auto"/>
        </w:rPr>
        <w:t>) dosed BID by oral administration in the FGFR3 S249C activating mutant UM-UC-14 bladder cancer xenograft model in Balb/c nude mice. Percent tumor growth inhibition, or %TGI, in these experiments was 96% for TYRA-300 and 88% for erdafitinib, relative to their respective vehicles. Data points represent mean tumor volume (n=6 per group) and error bars represent standard error of the mean.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35058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TYRA-300 did not elevate phosphate relative to erdafitinib</w:t>
      </w:r>
    </w:p>
    <w:p>
      <w:pPr>
        <w:spacing w:after="0" w:line="229" w:lineRule="exact"/>
        <w:rPr>
          <w:sz w:val="20"/>
          <w:szCs w:val="20"/>
          <w:color w:val="auto"/>
        </w:rPr>
      </w:pPr>
    </w:p>
    <w:p>
      <w:pPr>
        <w:jc w:val="center"/>
        <w:ind w:left="440" w:right="40"/>
        <w:spacing w:after="0" w:line="263" w:lineRule="auto"/>
        <w:rPr>
          <w:sz w:val="20"/>
          <w:szCs w:val="20"/>
          <w:color w:val="auto"/>
        </w:rPr>
      </w:pPr>
      <w:r>
        <w:rPr>
          <w:rFonts w:ascii="Arial" w:cs="Arial" w:eastAsia="Arial" w:hAnsi="Arial"/>
          <w:sz w:val="18"/>
          <w:szCs w:val="18"/>
          <w:i w:val="1"/>
          <w:iCs w:val="1"/>
          <w:color w:val="auto"/>
        </w:rPr>
        <w:t>Effect of a single oral dose (10, 30 or 60 mg/kg) of TYRA-300 or erdafitinib on plasma phosphate levels 24 hours after dosing in male Sprague Dawley rats. Each data point represents the plasma phosphate measurement from the pooled sample of all 4 rats per dose group. Plasma phosphate levels were observed to be lower in the TYRA-300 treated groups than in the erdafitinib treated groups.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plans for TYRA-300</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We plan to file an IND with the FDA for TYRA-300, followed by initiation of a Phase 1/2 clinical trial. We anticipate that the Phase 1 portion of the trial will be designed as an accelerated dose escalation in any advanced solid tumor refractory to existing therapies, including dose expansion cohorts of patients with FGFR3-positive cancers. We expect the primary objectives of the Phase 1 portion of the trial to be an evaluation of the safety and tolerability of TYRA-300 and a determination of the recommended Phase 2 dose, or RP2D. In addition, we plan to characterize the pharmacokinetic/pharmacodynamic relationship for TYRA-300 as well as conduct early validation of a liquid biopsy companion diagnostic test to assist us in identifying appropriate patients for our product candidates.</w:t>
      </w:r>
    </w:p>
    <w:p>
      <w:pPr>
        <w:spacing w:after="0" w:line="192"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are designing the Phase 2 portion of our trial to be consistent with the well-established precedent of clinical trials of approved targeted therapies. If the data from any or all of these predefined patient populations are sufficient to support marketing authorization, we expect to seek feedback from the FDA in order to evaluate our ability to pursue and receive accelerated approval in the United States. We have not had any initial feedback from the FDA relating to our plans to pursue accelerated approval in the United States, and there can be no assurance that after our evaluation of the feedback and other factors, we will decide to pursue accelerated approval or any other form of expedited development, review or approval. We initially plan to evaluate TYRA-300 in the following three populations of FGFR3-positive tumors.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Metastatic MIBC (mUC) patients who have received an FGFR inhibitor previously and have developed resistance to that inhibitor due to an FGFR3 mutation, such as the gatekeeper V555M.</w:t>
      </w:r>
    </w:p>
    <w:p>
      <w:pPr>
        <w:spacing w:after="0" w:line="197" w:lineRule="exact"/>
        <w:rPr>
          <w:rFonts w:ascii="Arial" w:cs="Arial" w:eastAsia="Arial" w:hAnsi="Arial"/>
          <w:sz w:val="18"/>
          <w:szCs w:val="18"/>
          <w:color w:val="auto"/>
        </w:rPr>
      </w:pPr>
    </w:p>
    <w:p>
      <w:pPr>
        <w:ind w:left="1420" w:right="300" w:hanging="319"/>
        <w:spacing w:after="0" w:line="263"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Metastatic MIBC (mUC) patients who have not yet received an FGFR inhibitor where we believe a reduction in toxicities and side effects, as well as the avoidance of the selection for the V555M gatekeeper mutations, have the potential to lead to improved tolerability, higher dosing and increasing the duration of responses.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solid tumors containing known activating FGFR3 gene alterations.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If TYRA-300 is well-tolerated, we plan to evaluate additional patient populations as adjuvant therapy for localized MIBC following surgery and in recurrent NMIBC following BCG therapy, where reduction in side effects are a significant consideration for treatment choice and patient adherence.</w:t>
      </w:r>
    </w:p>
    <w:p>
      <w:pPr>
        <w:spacing w:after="0" w:line="184"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We plan to select a diagnostic company to use a liquid biopsy companion diagnostic test to aid in identifying appropriate patients for this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-19050</wp:posOffset>
            </wp:positionV>
            <wp:extent cx="5074920" cy="1834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7492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Potential indications for TYRA-300</w:t>
      </w:r>
    </w:p>
    <w:p>
      <w:pPr>
        <w:spacing w:after="0" w:line="229" w:lineRule="exact"/>
        <w:rPr>
          <w:sz w:val="20"/>
          <w:szCs w:val="20"/>
          <w:color w:val="auto"/>
        </w:rPr>
      </w:pPr>
    </w:p>
    <w:p>
      <w:pPr>
        <w:jc w:val="center"/>
        <w:ind w:left="440" w:right="20"/>
        <w:spacing w:after="0" w:line="277" w:lineRule="auto"/>
        <w:rPr>
          <w:sz w:val="20"/>
          <w:szCs w:val="20"/>
          <w:color w:val="auto"/>
        </w:rPr>
      </w:pPr>
      <w:r>
        <w:rPr>
          <w:rFonts w:ascii="Arial" w:cs="Arial" w:eastAsia="Arial" w:hAnsi="Arial"/>
          <w:sz w:val="18"/>
          <w:szCs w:val="18"/>
          <w:i w:val="1"/>
          <w:iCs w:val="1"/>
          <w:color w:val="auto"/>
        </w:rPr>
        <w:t>FGFR3 mutations in initial patient populations include S249C, R248C, Y373C, G370C = resistant to gatekeeper. FGFR3 mutations in follow-on patient populations that are naïve to FGFR therapy include S249C, R248C, Y373C, G370C and FGFR3-TACC3 fusions.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FGFR2 inhibitor discovery program</w:t>
      </w:r>
    </w:p>
    <w:p>
      <w:pPr>
        <w:spacing w:after="0" w:line="229"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We are currently evaluating several small molecule inhibitors of FGFR2 for the treatment of FGFR2-dependent cancers, initially for patients with ICC who are resistant to FGFR therapies. Similar to therapies designed for the treatment of FGFR3-driven cancers, resistance to both approved and investigational FGFR inhibitors have been shown to arise due to mutations in FGFR2. We have designed our small molecule inhibitors of FGFR2 to be active against multiple acquired resistant mutations that arise during treatment with other FGFR2 inhibitors. Although no head-to-head clinical trials have been conducted, we believe the use of comparative in vitro data from pre-clinical studies provides meaningful insight into the potential for our product candidates to improve on certain characteristics of approved and investigational FGFR inhibitors, and helps inform potential future clinical</w:t>
      </w:r>
    </w:p>
    <w:p>
      <w:pPr>
        <w:spacing w:after="0" w:line="4" w:lineRule="exact"/>
        <w:rPr>
          <w:sz w:val="20"/>
          <w:szCs w:val="20"/>
          <w:color w:val="auto"/>
        </w:rPr>
      </w:pPr>
    </w:p>
    <w:p>
      <w:pPr>
        <w:ind w:left="120"/>
        <w:spacing w:after="0"/>
        <w:tabs>
          <w:tab w:leader="none" w:pos="7920" w:val="left"/>
        </w:tabs>
        <w:rPr>
          <w:sz w:val="20"/>
          <w:szCs w:val="20"/>
          <w:color w:val="auto"/>
        </w:rPr>
      </w:pPr>
      <w:r>
        <w:rPr>
          <w:rFonts w:ascii="Arial" w:cs="Arial" w:eastAsia="Arial" w:hAnsi="Arial"/>
          <w:sz w:val="17"/>
          <w:szCs w:val="17"/>
          <w:color w:val="auto"/>
        </w:rPr>
        <w:t>development of our product candidates. We plan to file an IND for a nominated product candidate in</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ICC disease background</w:t>
      </w:r>
    </w:p>
    <w:p>
      <w:pPr>
        <w:spacing w:after="0" w:line="22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ICC is a form of cancer that originates in the bile ducts, which are a series of thin vessels that transport bile from liver cells to the small intestine. Diagnosis of ICC is often difficult as it is not associated with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specific symptoms other than dull abdominal pain, weight loss and elevated liver enzymes. ICC is a rare tumor, accounting for only 3% of worldwide gastrointestinal malignancies, with an incidence in the United States estimated to be 0.95 cases per 100,000. However, the incidence of this disease has risen in the past 30 years. The median overall survival for all patients diagnosed with ICC is reported to be 16.1 months. The median overall survival for patients diagnosed with late-stage disease is less than one year.</w:t>
      </w:r>
    </w:p>
    <w:p>
      <w:pPr>
        <w:spacing w:after="0" w:line="187"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FGFR2 is a protein receptor present on the cell surface that promotes cellular proliferation and transformation upon binding of fibroblast growth factor. Similar to FGFR3, activating mutations and fusions of FGFR2 have been implicated in the tumorigenesis of multiple solid tumor types. Approximately 15-20% of patients with ICC have genetic alterations in FGFR2, which are primarily gene fusions and activating mutations.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Standard of care and current limitations for the treatment of ICC</w:t>
      </w:r>
    </w:p>
    <w:p>
      <w:pPr>
        <w:spacing w:after="0" w:line="225" w:lineRule="exact"/>
        <w:rPr>
          <w:sz w:val="20"/>
          <w:szCs w:val="20"/>
          <w:color w:val="auto"/>
        </w:rPr>
      </w:pPr>
    </w:p>
    <w:p>
      <w:pPr>
        <w:ind w:left="120" w:right="320" w:firstLine="881"/>
        <w:spacing w:after="0" w:line="301" w:lineRule="auto"/>
        <w:rPr>
          <w:sz w:val="20"/>
          <w:szCs w:val="20"/>
          <w:color w:val="auto"/>
        </w:rPr>
      </w:pPr>
      <w:r>
        <w:rPr>
          <w:rFonts w:ascii="Arial" w:cs="Arial" w:eastAsia="Arial" w:hAnsi="Arial"/>
          <w:sz w:val="16"/>
          <w:szCs w:val="16"/>
          <w:color w:val="auto"/>
        </w:rPr>
        <w:t>Currently, surgical recession is the only curative option available to ICC patients. However, only approximately one-third of patients are eligible for surgery at diagnosis. The remaining patient population with unresectable tumors are typically treated with chemotherapies. The recommended frontline regimen is a combination of gemcitabine and cisplatin, which offers a median overall survival benefit of 11.7 months. Upon disease progression, patients with actionable mutations, such as FGFR2 alterations, are eligible to receive targeted therapies.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FGFR inhibitors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Patients with genetic alternations in FGFR2 are eligible to be treated with pemigatinib, an FGFR inhibitor that received accelerated approval in the United States in 2020 for treatment following chemotherapy. In the Phase 2 clinical trial of pemigatinib for the treatment of ICC, the overall response rate with was 36% with a median duration of response of 9.1 months. We believe a critical unmet need for patients with FGFR2 fusion or FGFR2-altered ICC is balancing the potency for the wild type and the numerous on-target resistance mutations that emerge in patients treated with pemigatinib and current clinical stage drug candidates. The most frequently occurring acquired drug resistance mutations are active site mutations such as the gatekeeper and amino acids comprising the molecular brake. These mutations, as well as allosteric gain-of-function mutations, have been observed clinically to confer resistance to pemigatinib and additional late stage FGFR inhibitors. We believe maintaining potency against these mutations as well as wild-type FGFR2 could potentially improve efficacy and duration of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139700</wp:posOffset>
            </wp:positionV>
            <wp:extent cx="5151755" cy="21685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5175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Acquired drug resistance is common in patients with ICC treated with FGFR inhibitors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solution</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are currently evaluating several small molecule inhibitors of FGFR2 designed to be active against multiple acquired resistant mutations that arise during treatment with other FGFR inhibitors. In preclinical models conducted to date, our compounds demonstrate similar potency in FGFR2-driven Ba/F3 cells to erdafitinib, pemigatinib, futibatinib or infigratinib, while reducing or eliminating the decrease in potency observed with N550K molecular brake and V565F gatekeeper resistance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5074920" cy="1628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7492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FGFR2 inhibitors retained potency against multiple potential acquired resistance mutations in FGFR2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074920" cy="2322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7492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Tumor growth inhibition in SNU-16 and AN3CA xenograft models</w:t>
      </w:r>
    </w:p>
    <w:p>
      <w:pPr>
        <w:spacing w:after="0" w:line="229" w:lineRule="exact"/>
        <w:rPr>
          <w:sz w:val="20"/>
          <w:szCs w:val="20"/>
          <w:color w:val="auto"/>
        </w:rPr>
      </w:pPr>
    </w:p>
    <w:p>
      <w:pPr>
        <w:jc w:val="center"/>
        <w:ind w:left="460"/>
        <w:spacing w:after="0" w:line="275" w:lineRule="auto"/>
        <w:rPr>
          <w:sz w:val="20"/>
          <w:szCs w:val="20"/>
          <w:color w:val="auto"/>
        </w:rPr>
      </w:pPr>
      <w:r>
        <w:rPr>
          <w:rFonts w:ascii="Arial" w:cs="Arial" w:eastAsia="Arial" w:hAnsi="Arial"/>
          <w:sz w:val="17"/>
          <w:szCs w:val="17"/>
          <w:i w:val="1"/>
          <w:iCs w:val="1"/>
          <w:color w:val="auto"/>
        </w:rPr>
        <w:t>Anti-tumor activity of pemigatinib (1 mg/kg once daily, or QD, oral dosing, n=6, upper left) was evident in the SNU-16 stomach carcinoma-derived xenograft model in Balb/c nude mice. SNU-16 cells contained an FGFR2 amplification. Pemigatinib at 1 mg/kg QD oral dosing (n=4) was not observed to be active in the AN3CA model (lower left). On the right panel, antitumor activity of the TYRA compounds (10 mg/kg BID oral dosing, n=4 per group) was evident in the uterine derived AN3CA xenograft model in Balb/c nude mice. AN3CA cells contained the N550K molecular brake mutation in FGFR2. Data points represent mean tumor volume and error bars represent standard error of the mean.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plans for our FGFR2 inhibitor</w:t>
      </w:r>
    </w:p>
    <w:p>
      <w:pPr>
        <w:spacing w:after="0" w:line="225" w:lineRule="exact"/>
        <w:rPr>
          <w:sz w:val="20"/>
          <w:szCs w:val="20"/>
          <w:color w:val="auto"/>
        </w:rPr>
      </w:pPr>
    </w:p>
    <w:p>
      <w:pPr>
        <w:ind w:left="1000"/>
        <w:spacing w:after="0"/>
        <w:tabs>
          <w:tab w:leader="none" w:pos="7040" w:val="left"/>
        </w:tabs>
        <w:rPr>
          <w:sz w:val="20"/>
          <w:szCs w:val="20"/>
          <w:color w:val="auto"/>
        </w:rPr>
      </w:pPr>
      <w:r>
        <w:rPr>
          <w:rFonts w:ascii="Arial" w:cs="Arial" w:eastAsia="Arial" w:hAnsi="Arial"/>
          <w:sz w:val="18"/>
          <w:szCs w:val="18"/>
          <w:color w:val="auto"/>
        </w:rPr>
        <w:t>Following product candidate nomination and anticipated IND submission in</w:t>
      </w:r>
      <w:r>
        <w:rPr>
          <w:sz w:val="20"/>
          <w:szCs w:val="20"/>
          <w:color w:val="auto"/>
        </w:rPr>
        <w:tab/>
      </w:r>
      <w:r>
        <w:rPr>
          <w:rFonts w:ascii="Arial" w:cs="Arial" w:eastAsia="Arial" w:hAnsi="Arial"/>
          <w:sz w:val="16"/>
          <w:szCs w:val="16"/>
          <w:color w:val="auto"/>
        </w:rPr>
        <w:t>, we plan to pursue a clinical development strategy</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similar to that of TYRA-300. We anticipate initially developing an FGFR2 inhibitor in patients with ICC who have developed drug resistance mutations from existing FGFR therapies, including the V565 gatekeeper or N550 molecular brake mutations. We believe there is potential for an FGFR2 inhibitor beyond this initial patient population, including in FGFR-treatment naïve patients with ICC, breast cancer and other tumor types with fusions of FGFR2. Beyond these patients, we intend to assess the efficacy of an FGFR2 inhibitor in other patient populations with activating gene alterations in FGFR2, such as uterine/endometrial and breast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wp:posOffset>
            </wp:positionV>
            <wp:extent cx="5074920" cy="17145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7492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Potential indications for our FGFR2 inhibitor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Opportunity for a second non-oncology FGFR3 selective inhibitor</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Beyond oncology, FGFR3 is implicated in many other diseases, including achondroplasia, due to its role in regulating bone and cartilage formation. We believe that there is an opportunity to develop a second FGFR3 selective inhibitor for the treatment of long-term complications associated with achondroplasia.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Achondroplasia background</w:t>
      </w:r>
    </w:p>
    <w:p>
      <w:pPr>
        <w:spacing w:after="0" w:line="22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Achondroplasia, the most common form of dwarfism, is a disorder of bone that prevents proper cartilage growth and development, resulting in incomplete growth of the long bones in the arms and legs, malformation of the spine and chest and characteristic facial features. It occurs in approximately 1 in 15,000 to 40,000 newborns worldwide, and it is estimated that there are approximately 250,000 affected individuals worldwide. Achondroplasia can cause health complications such as restriction of breathing, obesity, recurrent ear infections and exaggerated inward curve of the spine as well as more serious problems that result from a narrowing of the spinal canal in infants at the base of the skull.</w:t>
      </w:r>
    </w:p>
    <w:p>
      <w:pPr>
        <w:spacing w:after="0" w:line="176" w:lineRule="exact"/>
        <w:rPr>
          <w:sz w:val="20"/>
          <w:szCs w:val="20"/>
          <w:color w:val="auto"/>
        </w:rPr>
      </w:pPr>
    </w:p>
    <w:p>
      <w:pPr>
        <w:ind w:left="120" w:right="340" w:firstLine="881"/>
        <w:spacing w:after="0" w:line="301" w:lineRule="auto"/>
        <w:rPr>
          <w:sz w:val="20"/>
          <w:szCs w:val="20"/>
          <w:color w:val="auto"/>
        </w:rPr>
      </w:pPr>
      <w:r>
        <w:rPr>
          <w:rFonts w:ascii="Arial" w:cs="Arial" w:eastAsia="Arial" w:hAnsi="Arial"/>
          <w:sz w:val="16"/>
          <w:szCs w:val="16"/>
          <w:color w:val="auto"/>
        </w:rPr>
        <w:t>FGFR3 is normally expressed in chondrocytes (cartilage cells) in growth plates where it plays a role in bone growth. In achondroplasia, mutations cause FGFR3 to be overactive, resulting in deficiencies in bone formation, primarily in long bones, causing these bones to be shorter than normal. Because the mutation in FGFR3 is an activating mutation, the presence of a single copy of a mutated gene results in increased activity and achondroplasia. Approximately 80% of cases of achondroplasia arise through spontaneous mutation of FGFR3.</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Unmet need in achondroplasia</w:t>
      </w:r>
    </w:p>
    <w:p>
      <w:pPr>
        <w:spacing w:after="0" w:line="22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There are currently no effective treatments that directly address the cause of achondroplasia. Individuals may undergo surgery to correct spine or bone abnormalities and to reduce the pressure inside the brain in cases of hydrocephaly. A more direct approach to addressing the short stature in achondroplasia is limb lengthening surgery. In this type of surgery, rods are inserted into the long bones and used to stretch the limbs. These surgeries are typically performed in younger patients who are still undergoing active bone growth. However, these therapies have both a high financial and social cost, as well as potential for complications associated with any orthopedic procedures.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Opportunity for FGFR3 inhibitor</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believe that an oral, highly selective inhibitor of mutant FGFR3 may address long-term complications in affected individuals, including spinal stenosis, scoliosis and respiratory problems, alleviating the need for multiple painful surgeries and improving quality of life for this patient population.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RET and FGFR4 inhibitor discovery programs</w:t>
      </w:r>
    </w:p>
    <w:p>
      <w:pPr>
        <w:spacing w:after="0" w:line="229"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RET and FGFR4 are both RTKs that perform important cell-signaling functions and are susceptible to oncogenic genetic alterations. Both RET and FGFR4 can lead to malignancies across multiple tumor types. In certain RET-driven tumors, Retevmo</w:t>
      </w:r>
      <w:r>
        <w:rPr>
          <w:rFonts w:ascii="Arial" w:cs="Arial" w:eastAsia="Arial" w:hAnsi="Arial"/>
          <w:sz w:val="14"/>
          <w:szCs w:val="14"/>
          <w:color w:val="auto"/>
        </w:rPr>
        <w:t>™</w:t>
      </w:r>
      <w:r>
        <w:rPr>
          <w:rFonts w:ascii="Arial" w:cs="Arial" w:eastAsia="Arial" w:hAnsi="Arial"/>
          <w:sz w:val="17"/>
          <w:szCs w:val="17"/>
          <w:color w:val="auto"/>
        </w:rPr>
        <w:t xml:space="preserve"> (selpercatinib) and Gavreto</w:t>
      </w:r>
      <w:r>
        <w:rPr>
          <w:rFonts w:ascii="Arial" w:cs="Arial" w:eastAsia="Arial" w:hAnsi="Arial"/>
          <w:sz w:val="14"/>
          <w:szCs w:val="14"/>
          <w:color w:val="auto"/>
        </w:rPr>
        <w:t>®</w:t>
      </w:r>
      <w:r>
        <w:rPr>
          <w:rFonts w:ascii="Arial" w:cs="Arial" w:eastAsia="Arial" w:hAnsi="Arial"/>
          <w:sz w:val="17"/>
          <w:szCs w:val="17"/>
          <w:color w:val="auto"/>
        </w:rPr>
        <w:t xml:space="preserve"> (pralsetinib) are both approved by the FDA, however, drug resistant mutations have emerged. For FGFR4-driven tumors, there are no currently approved therapies. Acquired drug resistance due to tumor mutation has been observed in current clinical stage drug candidates. This acquired drug resistance can limit drug durability, creating unmet need. We intend to utilize our SNÅP platform to develop product candidates that can potentially overcome drug resistant mutations and potentially improve patient outcomes.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Prevalence of RET alterations in cancer</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RET is an RTK that is essential for neuronal and embryonic development. Activating genetic alterations such as gene fusions and point mutations in RET are oncogenic. In non-small cell lung cancer, or NSCLC, and papillary thyroid carcinoma, or PTC, RET gene fusions lead to constitutive activation and oncogenesis. In NSCLC, 1 to 2% of patients who are negative for mutations or rearrangements in other common oncogenic drivers such as EGFR, HER, ERBB2, BRAF, KRAS and ALK, have RET fusions. In PTC, the most common form of thyroid cancer, an estimated 35% of cases in North America and up to 65% of cases in other geographies are associated with RET fusions. In sporadic medullary thyroid carcinoma, or MTC, approximately half of patients have activating mutations in RET, whereas in familial cancer syndromes, such as MEN2B, germline RET mutations at M918T predispose carriers to MTC.</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of current RET inhibitors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first FDA approved therapies for RET-driven tumors were Caprelsa</w:t>
      </w:r>
      <w:r>
        <w:rPr>
          <w:rFonts w:ascii="Arial" w:cs="Arial" w:eastAsia="Arial" w:hAnsi="Arial"/>
          <w:sz w:val="15"/>
          <w:szCs w:val="15"/>
          <w:color w:val="auto"/>
        </w:rPr>
        <w:t>®</w:t>
      </w:r>
      <w:r>
        <w:rPr>
          <w:rFonts w:ascii="Arial" w:cs="Arial" w:eastAsia="Arial" w:hAnsi="Arial"/>
          <w:sz w:val="18"/>
          <w:szCs w:val="18"/>
          <w:color w:val="auto"/>
        </w:rPr>
        <w:t xml:space="preserve"> (vandetanib) and Cabometyx</w:t>
      </w:r>
      <w:r>
        <w:rPr>
          <w:rFonts w:ascii="Arial" w:cs="Arial" w:eastAsia="Arial" w:hAnsi="Arial"/>
          <w:sz w:val="15"/>
          <w:szCs w:val="15"/>
          <w:color w:val="auto"/>
        </w:rPr>
        <w:t>®</w:t>
      </w:r>
      <w:r>
        <w:rPr>
          <w:rFonts w:ascii="Arial" w:cs="Arial" w:eastAsia="Arial" w:hAnsi="Arial"/>
          <w:sz w:val="18"/>
          <w:szCs w:val="18"/>
          <w:color w:val="auto"/>
        </w:rPr>
        <w:t xml:space="preserve"> (cabozantinib), both of which are multi-kinase inhibitors approved for MTC that has progressed on standard therapy or is symptomatic and in need of treatment. Selpercatinib and pralsetinib are highly specific next-generation RET inhibitors that have received accelerated approval in patients with RET-dependent tumors including NSCLC, PTC and MTC.</w:t>
      </w:r>
    </w:p>
    <w:p>
      <w:pPr>
        <w:spacing w:after="0" w:line="187" w:lineRule="exact"/>
        <w:rPr>
          <w:sz w:val="20"/>
          <w:szCs w:val="20"/>
          <w:color w:val="auto"/>
        </w:rPr>
      </w:pPr>
    </w:p>
    <w:p>
      <w:pPr>
        <w:jc w:val="both"/>
        <w:ind w:left="120" w:firstLine="881"/>
        <w:spacing w:after="0" w:line="287" w:lineRule="auto"/>
        <w:rPr>
          <w:sz w:val="20"/>
          <w:szCs w:val="20"/>
          <w:color w:val="auto"/>
        </w:rPr>
      </w:pPr>
      <w:r>
        <w:rPr>
          <w:rFonts w:ascii="Arial" w:cs="Arial" w:eastAsia="Arial" w:hAnsi="Arial"/>
          <w:sz w:val="16"/>
          <w:szCs w:val="16"/>
          <w:color w:val="auto"/>
        </w:rPr>
        <w:t>Both vandetanib and cabozantinib were approved in MTC without a restriction to the RET-mutated population. For patients with MTC with activating RET mutations treated with these therapies, secondary resistance mutations at the gatekeeper position V804 arise during treatment and can be identified at the time of disease progression. Selpercatinib and pralsetinib address a key liability of the first generation multi-kinase inhibitors at V804.</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In metastatic RET-fusion positive patients with NSCLC that had previously failed platinum-based chemotherapy, selpercatinib treatment led to a 62% response rate with a median duration of response of 17.5 months. In patients with treatment-naïve NSCLC, the overall response rate was 85%. An overall response rate of approximately 70% was observed in RET-mutant MTC regardless of whether patients had previously failed on other kinase inhibitor therapies. Roughly similar efficacy was observed in clinical trials with pralsetinib. Both selpercatinib and pralsetinib received accelerated approval in the United States in 2020.</w:t>
      </w:r>
    </w:p>
    <w:p>
      <w:pPr>
        <w:spacing w:after="0" w:line="191"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Although selpercatinib and pralsetinib were only recently approved and therefore do not have a long history of use, the emergence of acquired drug resistance mutations has already been observed at the G810 solvent front. Based on the observed history with other targeted therapies in molecularly defined subgroups, we believe the use of these drugs will likely lead to additional resistance liabilities over time.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RET Program</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We are planning to develop a RET-specific inhibitor that is insensitive to the V804 gatekeeper and the G810 solvent front mutations. Our drug discovery efforts are driven by our ability to gain molecular-level detail and insights from internally derived co-crystal structures of selpercatinib, pralsetinib and other inhibitors bound to RTKs. Recent publications have shown that these inhibitors have liabilities at the gatekeeper, the solvent front, or other parts of the ATP-binding pocket. Our focus is to develop RET inhibitors that address as many of these key liabilities, an approach which we believe will allow our product candidates to demonstrate antitumor activity in patients who progress on current-generation RET inhibitors.</w:t>
      </w:r>
    </w:p>
    <w:p>
      <w:pPr>
        <w:spacing w:after="0" w:line="161"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initial development plans for our RET inhibitor product candidate will focus on patients who fail previous treatment with a RET inhibitor due to acquired mutations in V804 or G810. We anticipate that our RET inhibitor will also have potential for antitumor activity in patients with RET treatment-naïve containing RET fusions or RET activating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142875</wp:posOffset>
            </wp:positionV>
            <wp:extent cx="5074920" cy="1525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7492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Potential patient populations for our RET inhibitor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FGFR4 in cancer</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FGFR4 regulates bile acid synthesis and hepatocyte proliferation in the liver in response to fibroblast growth factor 19, or FGF19. Amplification of the gene encoding FGF19 has been implicated in activation of FGFR4 through autocrine signaling and may represent a biomarker that identifies a subpopulation of hepatocellular carcinoma, or HCC, that may be susceptible to FGFR4 inhibition. FGFR4 gene alterations such as activating point mutations and fusions have been identified in rare populations such as pediatric rhabdomyosarcoma and a variety of other solid tumors.</w:t>
      </w:r>
    </w:p>
    <w:p>
      <w:pPr>
        <w:spacing w:after="0" w:line="15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There are currently no approved therapies for FGFR4-driven cancers. Fisogatinib is an FGFR4 inhibitor in clinical development. A Phase 1 clinical trial with fisogatinib obtained tumor regression in patients with HCC with aberrant FGF19 expression, indicating that FGFR4 may be an important driver of disease in select patients. Results from this trial led to the identification of FGFR4 mutations associated with acquired drug resistance. These mutations included V550 gatekeeper mutations and C552 mutations, both of which were found to cause a loss of fisogatinib potency of more than 1,000-fold.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FGFR4 Program</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Our FGFR4 drug discovery efforts are driven by our deep structural understanding of the FGFR family including over 40 co-crystal structures of FGFR4 itself. We are planning to develop an FGFR4-specific inhibitor that is insensitive to the V550 gatekeeper and the C552 mutations. We anticipate that our product candidate will also have potential for antitumor activity in patients with spontaneous FGFR4 activating mutations at the gatekeeper (V550) and molecular brake (N553), as well as in rare FGFR4 fusions.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Initial development plans for our FGFR4 inhibitor will focus on patients with FGF19-amplified HCC, activating point mutations in pediatric rhabdomyosarcoma, and other rare populations with FGFR4 fusions and activating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-19050</wp:posOffset>
            </wp:positionV>
            <wp:extent cx="5074920" cy="7454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7492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Potential patient populations for our FGFR4 inhibitor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360" w:firstLine="881"/>
        <w:spacing w:after="0" w:line="296"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products. While we believe that our technology, the expertise of our team, and our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161" w:lineRule="exact"/>
        <w:rPr>
          <w:sz w:val="20"/>
          <w:szCs w:val="20"/>
          <w:color w:val="auto"/>
        </w:rPr>
      </w:pPr>
    </w:p>
    <w:p>
      <w:pPr>
        <w:jc w:val="both"/>
        <w:ind w:left="120" w:right="120" w:firstLine="881"/>
        <w:spacing w:after="0" w:line="293" w:lineRule="auto"/>
        <w:rPr>
          <w:sz w:val="20"/>
          <w:szCs w:val="20"/>
          <w:color w:val="auto"/>
        </w:rPr>
      </w:pPr>
      <w:r>
        <w:rPr>
          <w:rFonts w:ascii="Arial" w:cs="Arial" w:eastAsia="Arial" w:hAnsi="Arial"/>
          <w:sz w:val="16"/>
          <w:szCs w:val="16"/>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164" w:lineRule="exact"/>
        <w:rPr>
          <w:sz w:val="20"/>
          <w:szCs w:val="20"/>
          <w:color w:val="auto"/>
        </w:rPr>
      </w:pPr>
    </w:p>
    <w:p>
      <w:pPr>
        <w:ind w:left="120" w:right="220" w:firstLine="881"/>
        <w:spacing w:after="0" w:line="255"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or more effective, have fewer or less severe side effects, and are more convenient or less expensive than products that we may develop. Our competitors also may obtain FDA or other regulatory approval for their products more rapidly than we can,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including duration of human response and breadth of coverage, safety and patient convenience.</w:t>
      </w:r>
    </w:p>
    <w:p>
      <w:pPr>
        <w:spacing w:after="0" w:line="192"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There are numerous companies developing or marketing treatments for cancer, including many major pharmaceutical and biotechnology companies. These treatments consist of small molecule drug products, biologics, cell-based therapies, and traditional chemotherapy. There are three currently approved pan-FGFR inhibitors in the U.S.: Incyte Corporation’s Pemazyre (pemigatinib) and QED Therapeutics’ Truseltiq (infigratinib), each approved for FGFR2 gene rearrangements in cholangiocarcinoma; and Janssen Biotech, Inc.’s Balversa (erdafitinib), approved in specific FGFR3 and FGFR2 gene alterations in urothelial cancer. Both Incyte (NCT03656536) and QED (NCT03773302) are conducting global Phase 3 confirmatory studies in treatment-naïve metastatic ICC, and Janssen is conducting a global Phase 3 confirmatory study in metastatic urothelial cancer in subjects who have received 1 or 2 prior therapies (NCT03390504).</w:t>
      </w:r>
    </w:p>
    <w:p>
      <w:pPr>
        <w:spacing w:after="0" w:line="17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In addition to the confirmatory study in ICC, pemigatinib is being studied in NMIBC (NCT03914794); as adjuvant therapy following surgery for bladder cancer (NCT04294277); in tumor agnostic cancer populations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(NCT04003623, NCT03822117); in combination with chemotherapy in ICC (NCT04088188); and in combination with immunotherapy in endometrial cancer (NCT04463771). QED has ongoing studies in bladder cancer prior to surgery as neoadjuvant therapy (NCT04228042); following bladder cancer surgery as adjuvant therapy (NCT04197986); in a tumor agnostic population (NCT04233567); and in achondroplasia (NCT04265651). Janssen is studying erdafitinib in NMIBC (NCT04917809, NCT04172675); in tumor agnostic cancer populations (NCT02465060, NCT03827850), including a pediatric study (NCT03155620; and in combination with immunotherapy in bladder cancer (NCT03473743), among others.</w:t>
      </w:r>
    </w:p>
    <w:p>
      <w:pPr>
        <w:spacing w:after="0" w:line="161"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There are a number of other investigational pan-FGFR programs for FGFR-specific populations. Taiho Oncology, Inc.’s TAS120 (futibatinib) has completed a Phase 2 study in ICC, and is currently enrolling a pivotal Phase 3 study in treatment-naïve metastatic ICC versus standard of care chemotherapy (NCT04093362); Taiho also has ongoing studies in a tumor agnostic population (NCT04189445); and combination studies with pembrolizumab in urothelial cancer (NCT04601857) and FGF19 positive liver cancer (NCT04828486). Bayer Pharmaceutical’s has an ongoing Phase 1/2 study of BAY 1163877 (Rogaratinib) in urothelial cancer in combination with atezolizumab (NCT03473756). Isoform specific FGFR inhibitors such as Relay Therapeutics, Inc.’s RLY-4008 is currently in Phase 1 with stated plans to develop their candidate in ICC. Kinnate Biopharma Inc.’s has a preclinical candidate in KN3248.</w:t>
      </w:r>
    </w:p>
    <w:p>
      <w:pPr>
        <w:spacing w:after="0" w:line="195" w:lineRule="exact"/>
        <w:rPr>
          <w:sz w:val="20"/>
          <w:szCs w:val="20"/>
          <w:color w:val="auto"/>
        </w:rPr>
      </w:pPr>
    </w:p>
    <w:p>
      <w:pPr>
        <w:ind w:left="120" w:right="300" w:firstLine="881"/>
        <w:spacing w:after="0" w:line="275" w:lineRule="auto"/>
        <w:rPr>
          <w:sz w:val="20"/>
          <w:szCs w:val="20"/>
          <w:color w:val="auto"/>
        </w:rPr>
      </w:pPr>
      <w:r>
        <w:rPr>
          <w:rFonts w:ascii="Arial" w:cs="Arial" w:eastAsia="Arial" w:hAnsi="Arial"/>
          <w:sz w:val="17"/>
          <w:szCs w:val="17"/>
          <w:color w:val="auto"/>
        </w:rPr>
        <w:t>There are two approved RET inhibitors, Lilly’s Loxo Oncology’s Retevmo</w:t>
      </w:r>
      <w:r>
        <w:rPr>
          <w:rFonts w:ascii="Arial" w:cs="Arial" w:eastAsia="Arial" w:hAnsi="Arial"/>
          <w:sz w:val="14"/>
          <w:szCs w:val="14"/>
          <w:color w:val="auto"/>
        </w:rPr>
        <w:t>™</w:t>
      </w:r>
      <w:r>
        <w:rPr>
          <w:rFonts w:ascii="Arial" w:cs="Arial" w:eastAsia="Arial" w:hAnsi="Arial"/>
          <w:sz w:val="17"/>
          <w:szCs w:val="17"/>
          <w:color w:val="auto"/>
        </w:rPr>
        <w:t xml:space="preserve"> (selpercatinib) and Blueprint Medicines’ GAVRETO</w:t>
      </w:r>
      <w:r>
        <w:rPr>
          <w:rFonts w:ascii="Arial" w:cs="Arial" w:eastAsia="Arial" w:hAnsi="Arial"/>
          <w:sz w:val="14"/>
          <w:szCs w:val="14"/>
          <w:color w:val="auto"/>
        </w:rPr>
        <w:t>™</w:t>
      </w:r>
      <w:r>
        <w:rPr>
          <w:rFonts w:ascii="Arial" w:cs="Arial" w:eastAsia="Arial" w:hAnsi="Arial"/>
          <w:sz w:val="17"/>
          <w:szCs w:val="17"/>
          <w:color w:val="auto"/>
        </w:rPr>
        <w:t xml:space="preserve"> (pralsetinib), both of which are approved for RET-positive NSCLC, PTC, and MTC. Both are conducting confirmatory Phase 3 studies in NSCLC (NCT03473756, NCT04222972) and in MTC (NCT04211337, NCT04760288). Turning Point Therapeutics is developing their RET candidate TPX-0046 in a Phase 1 study (NCT04161391) with stated plans to expand their study to NSCLC, MTC, and tumor agnostic populations. Boston Pharmaceuticals is developing their RET candidate BOS172738 in a Phase 1 study (NCT03780517).</w:t>
      </w:r>
    </w:p>
    <w:p>
      <w:pPr>
        <w:spacing w:after="0" w:line="176"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There are currently no approved FGFR4 inhibitors, but there are a number of FGFR4 programs in clinical development. Blueprint Medicine is developing BLU-554 (fisogatinib) in a Phase 1/2 study in HCC in combination with a checkpoint inhibitor (NCT04194801. H3 Biomedicines has recruited a Phase 1/2 study of H3B-6527 in HCC (NCT02834780) but no further details are publicly available. Novartis completed a Phase 1/2 study of FGF401 alone and in combination with a checkpoint inhibitor in HCC (NCT02325739) and a similar study with FGF401 is now being conducted by Everest Medicines in combination with pembrolizumab in China.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We strive to protect the intellectual property and proprietary technology that we consider important to our business through a variety of methods, including seeking and maintaining patents intended to cover our product candidates and compositions, their methods of use and processes for their manufacture, and any other inventions that are important to our business. We rely on know-how and continuing technological innovation to develop and maintain our proprietary position. We also rely on trade secrets and know-how that may be important to the development of our business. We seek to obtain domestic and international patent protection and endeavor to promptly file patent applications for new commercially valuable inventions to expand our intellectual property portfolio.</w:t>
      </w:r>
    </w:p>
    <w:p>
      <w:pPr>
        <w:spacing w:after="0" w:line="192"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We believe that we have an intellectual property position and substantial know-how relating to our product candidates and SNÅP platform. As of June 30, 2021, our intellectual property portfolio consisted of eight pending U.S. provisional applications and two patent applications pursuant to the Patent Cooperation Treaty, or the PCT, all of which are solely owned by us. At this time, we do not own any issued patents, pending non-provisional patent applications in the U.S., or pending patent applications in any foreign countries, and we do not license any material patent rights from any third party. Collectively, our patent rights relate to various aspects of our product candidates. We do not anticipate entering national phase with respect to either of our current PCT applications until May 2022.</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color w:val="auto"/>
        </w:rPr>
        <w:t>We continually assess and refine our intellectual property strategy as we develop new product candidates and improvements to our SNÅP platform. To that end, we are prepared to file additional patent applications in any appropriate fields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w:t>
      </w:r>
    </w:p>
    <w:p>
      <w:pPr>
        <w:spacing w:after="0" w:line="17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“Risk Factors—Risks Related to Our Intellectual Property” for additional information on the risks associated with our intellectual property strategy and portfolio.</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Relating to Our FGFR3 Program</w:t>
      </w:r>
    </w:p>
    <w:p>
      <w:pPr>
        <w:spacing w:after="0" w:line="225"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With regard to our FGFR3 product candidates, as of June 30, 2021, we owned four pending U.S. provisional patent applications and one pending PCT patent application. These patent rights relate to the FGFR3 product candidates’ compositions of matter, formulations containing them, methods of manufacturing, and methods of treating diseases, using our FGFR3 product candidates. Specifically, we have one U.S. provisional patent application directed to the composition matter of our leading candidate in the FGFR3 program. We expect any patents issued from these applications to expire in 2040 or 2042 without accounting for any patent term adjustment or extension that may be available.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Relating to Our FGFR2 Program</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With regard to our FGFR2 program, as of June 30, 2021, we owned three pending U.S. provisional patent applications and one pending international PCT patent application. These patent rights relate to the FGFR2 program’s compositions of matter, formulations containing them, methods of manufacturing, and methods of treating diseases. We expect any patents issued from these applications to expire in 2040 or 2042 without accounting for any patent term extension that may be available.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Relating to Other Programs</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With regard to our other programs, including the FGFR4 program, as of June 30, 2021, we owned one pending U.S. provisional patent application. These patent rights relate to these other programs’ compositions of matter, formulations containing them, methods of manufacturing, and methods of treating diseases. We expect any patent issued from this application to expire in 2042 without accounting for any patent term extension that may be available.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Scope and Duration of Intellectual Property Protection</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term of individual patents depends upon the laws of the countries in which they are obtained. In most countries in which we file, the patent term is 20 years from the earliest date of filing of a non-provisional patent application. However, the term of United States patents may be extended for delays incurred due to compliance with the FDA requirements or by delays encountered during prosecution that are caused by the USPTO. For example, for drugs that are regulated by the FDA under the Hatch-Waxman Act, the FDA is permitted to extend the term of a patent that covers such drug for up to five years beyond the normal expiration date of the patent. In the future, if and when our product candidates receive FDA approval, we expect to apply for patent term extensions on patents covering those product candidates. We intend to seek patent term extensions to any of our issued patents in jurisdictions where these are available; however, there is no guarantee that the applicable authorities, including the USPTO and FDA, will agree with our assessment of whether such extensions should be granted, and even if granted, the length of such extensions. If patents are issued on our pending patent applications, the resulting patents are expected to expire on dates ranging from 2040 to 2042, unless we receive patent term extension or patent term adjustment, or both.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4"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No consistent policy regarding the scope of claims allowable in patents in the field of oncology therapy has emerged in the United States. The patent situation outside of the United States is even more uncertain. Changes in the patent laws and rules, either by legislation, judicial decisions, or regulatory interpretation in the United States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patents that may be granted to us in the future will be commercially useful in protecting our product candidates and the methods used to manufacture them. Moreover, those patents that may issue in the future may not guarantee us the right to practice our technology in relation to the commercialization of our product candidates.</w:t>
      </w:r>
    </w:p>
    <w:p>
      <w:pPr>
        <w:spacing w:after="0" w:line="172"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The area of patent and other intellectual property rights in biotechnology is an evolving one with many risks and uncertainties, and third parties may have blocking patents that could be used to prevent us from commercializing our product candidates and practicing our proprietary technology. Our patents that may issue in the future may be challenged, narrowed, circumvented or invalidated, which could limit our ability to stop competitors from marketing related product candidates or limit the length of the term of patent protection that we may have for our product candidates. In addition, the rights granted under any issued patents may not provide us with protection or competitive advantages against competitors with similar technology. Furthermore, our competitors may independently develop similar technologies.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SNÅP platform and product candidates, please see the section entitled “Risk Factors—Risks Related to Our Intellectual Property.”</w:t>
      </w:r>
    </w:p>
    <w:p>
      <w:pPr>
        <w:spacing w:after="0" w:line="168"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We intend to file applications for trademark registrations in connection with our product candidates in various jurisdictions, including the United States. We have filed for trademark protection of the TYRA and TYRA BIOSCIENCES marks with the United States Patent and Trademark Office and certain foreign patent and trademark organizations.</w:t>
      </w:r>
    </w:p>
    <w:p>
      <w:pPr>
        <w:spacing w:after="0" w:line="184"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16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 titled “Risk Factors—Risks Related to Our Intellectual Property.”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left="120" w:right="440" w:firstLine="881"/>
        <w:spacing w:after="0" w:line="296" w:lineRule="auto"/>
        <w:rPr>
          <w:sz w:val="20"/>
          <w:szCs w:val="20"/>
          <w:color w:val="auto"/>
        </w:rPr>
      </w:pPr>
      <w:r>
        <w:rPr>
          <w:rFonts w:ascii="Arial" w:cs="Arial" w:eastAsia="Arial" w:hAnsi="Arial"/>
          <w:sz w:val="16"/>
          <w:szCs w:val="16"/>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120" w:right="460" w:firstLine="881"/>
        <w:spacing w:after="0" w:line="301" w:lineRule="auto"/>
        <w:rPr>
          <w:sz w:val="20"/>
          <w:szCs w:val="20"/>
          <w:color w:val="auto"/>
        </w:rPr>
      </w:pPr>
      <w:r>
        <w:rPr>
          <w:rFonts w:ascii="Arial" w:cs="Arial" w:eastAsia="Arial" w:hAnsi="Arial"/>
          <w:sz w:val="16"/>
          <w:szCs w:val="16"/>
          <w:color w:val="auto"/>
        </w:rPr>
        <w:t>We do not have any manufacturing facilities or personnel. We currently rely, and expect to continue to rely, on third parties for the manufacture of our product candidates undergoing preclinical testing, as well as for subsequent clinical testing and commercial manufacture if our product candidates receive marketing approval. We believe this strategy allows us to focus our expertise and resources on the development of our product candidates by eliminating the need for us to invest in our own manufacturing facilities, equipment and personnel.</w:t>
      </w:r>
    </w:p>
    <w:p>
      <w:pPr>
        <w:spacing w:after="0" w:line="157" w:lineRule="exact"/>
        <w:rPr>
          <w:sz w:val="20"/>
          <w:szCs w:val="20"/>
          <w:color w:val="auto"/>
        </w:rPr>
      </w:pPr>
    </w:p>
    <w:p>
      <w:pPr>
        <w:ind w:left="120" w:right="680" w:firstLine="881"/>
        <w:spacing w:after="0" w:line="342" w:lineRule="auto"/>
        <w:rPr>
          <w:sz w:val="20"/>
          <w:szCs w:val="20"/>
          <w:color w:val="auto"/>
        </w:rPr>
      </w:pPr>
      <w:r>
        <w:rPr>
          <w:rFonts w:ascii="Arial" w:cs="Arial" w:eastAsia="Arial" w:hAnsi="Arial"/>
          <w:sz w:val="16"/>
          <w:szCs w:val="16"/>
          <w:color w:val="auto"/>
        </w:rPr>
        <w:t>We plan to put agreements in place with contract manufacturing organizations for the necessary quantities of active pharmaceutical ingredients, or API, and drug product for each of our product candidates, on a project-by-project basis, based on our development needs.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As we advance our product candidates through development, we will explore adding backup suppliers for the API and drug product for each of our product candidates to protect against any potential supply disruptions.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or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214" w:lineRule="exact"/>
        <w:rPr>
          <w:sz w:val="20"/>
          <w:szCs w:val="20"/>
          <w:color w:val="auto"/>
        </w:rPr>
      </w:pPr>
    </w:p>
    <w:p>
      <w:pPr>
        <w:ind w:left="1420" w:right="28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GLP requirements and other applicable regulations;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GCPs, to establish the safety and efficacy of the proposed drug for its intended use;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after completion of all pivotal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420" w:right="200" w:hanging="319"/>
        <w:spacing w:after="0" w:line="259"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or cGMP requirements to assure that the facilities, methods and controls are adequate to preserve the drug’s identity, strength, quality and purity, and of selected clinical investigation sites to assess compliance with GCPs; and</w:t>
      </w:r>
    </w:p>
    <w:p>
      <w:pPr>
        <w:spacing w:after="0" w:line="213"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70"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Prior to beginning the first clinical trial with a product candidate in the United States, a sponsor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1"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52" w:lineRule="exact"/>
        <w:rPr>
          <w:sz w:val="20"/>
          <w:szCs w:val="20"/>
          <w:color w:val="auto"/>
        </w:rPr>
      </w:pPr>
    </w:p>
    <w:p>
      <w:pPr>
        <w:ind w:left="1420" w:right="160" w:hanging="319"/>
        <w:spacing w:after="0" w:line="311" w:lineRule="auto"/>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5" w:lineRule="exact"/>
        <w:rPr>
          <w:rFonts w:ascii="Arial" w:cs="Arial" w:eastAsia="Arial" w:hAnsi="Arial"/>
          <w:sz w:val="16"/>
          <w:szCs w:val="16"/>
          <w:color w:val="auto"/>
        </w:rPr>
      </w:pPr>
    </w:p>
    <w:p>
      <w:pPr>
        <w:ind w:left="1420" w:right="320" w:hanging="319"/>
        <w:spacing w:after="0" w:line="311" w:lineRule="auto"/>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5" w:lineRule="exact"/>
        <w:rPr>
          <w:rFonts w:ascii="Arial" w:cs="Arial" w:eastAsia="Arial" w:hAnsi="Arial"/>
          <w:sz w:val="16"/>
          <w:szCs w:val="16"/>
          <w:color w:val="auto"/>
        </w:rPr>
      </w:pPr>
    </w:p>
    <w:p>
      <w:pPr>
        <w:ind w:left="1420" w:right="80" w:hanging="319"/>
        <w:spacing w:after="0" w:line="259"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87"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In addition, 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225"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6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64"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After the FDA evaluates an NDA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may delay or refuse approval of an NDA if applicable regulatory criteria are not satisfied, require additional testing or information and/or require post-marketing testing and surveillance to monitor safety or efficacy of a product.</w:t>
      </w:r>
    </w:p>
    <w:p>
      <w:pPr>
        <w:spacing w:after="0" w:line="170" w:lineRule="exact"/>
        <w:rPr>
          <w:sz w:val="20"/>
          <w:szCs w:val="20"/>
          <w:color w:val="auto"/>
        </w:rPr>
      </w:pPr>
    </w:p>
    <w:p>
      <w:pPr>
        <w:ind w:left="120" w:right="140" w:firstLine="881"/>
        <w:spacing w:after="0" w:line="290"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 market studies and surveillance to further assess and monitor the product’s safety and effectiveness after commercialization, and may limit further marketing of the product based on the results of these post-marketing studies.</w:t>
      </w:r>
    </w:p>
    <w:p>
      <w:pPr>
        <w:spacing w:after="0" w:line="165"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120" w:right="40" w:firstLine="881"/>
        <w:spacing w:after="0" w:line="253"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an NDA is submitted, the product candidate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6"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to available alternatives for such disease or condition. For new-molecular-entity NDAs, priority review designation means the FDA’s goal is to take action on the marketing application within six months of the 60-day filing date.</w:t>
      </w:r>
    </w:p>
    <w:p>
      <w:pPr>
        <w:spacing w:after="0" w:line="170" w:lineRule="exact"/>
        <w:rPr>
          <w:sz w:val="20"/>
          <w:szCs w:val="20"/>
          <w:color w:val="auto"/>
        </w:rPr>
      </w:pPr>
    </w:p>
    <w:p>
      <w:pPr>
        <w:ind w:left="120" w:right="100" w:firstLine="881"/>
        <w:spacing w:after="0" w:line="289"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left="120" w:right="140" w:firstLine="881"/>
        <w:spacing w:after="0" w:line="296" w:lineRule="auto"/>
        <w:rPr>
          <w:sz w:val="20"/>
          <w:szCs w:val="20"/>
          <w:color w:val="auto"/>
        </w:rPr>
      </w:pPr>
      <w:r>
        <w:rPr>
          <w:rFonts w:ascii="Arial" w:cs="Arial" w:eastAsia="Arial" w:hAnsi="Arial"/>
          <w:sz w:val="16"/>
          <w:szCs w:val="16"/>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61"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drug and indication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6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66"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03" w:lineRule="exact"/>
        <w:rPr>
          <w:sz w:val="20"/>
          <w:szCs w:val="20"/>
          <w:color w:val="auto"/>
        </w:rPr>
      </w:pPr>
    </w:p>
    <w:p>
      <w:pPr>
        <w:ind w:left="1420" w:hanging="319"/>
        <w:spacing w:after="0"/>
        <w:tabs>
          <w:tab w:leader="none" w:pos="14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Market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containing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77"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and meets other conditions.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225" w:lineRule="exact"/>
        <w:rPr>
          <w:sz w:val="20"/>
          <w:szCs w:val="20"/>
          <w:color w:val="auto"/>
        </w:rPr>
      </w:pPr>
    </w:p>
    <w:p>
      <w:pPr>
        <w:ind w:left="120" w:right="180" w:firstLine="881"/>
        <w:spacing w:after="0" w:line="270" w:lineRule="auto"/>
        <w:rPr>
          <w:sz w:val="20"/>
          <w:szCs w:val="20"/>
          <w:color w:val="auto"/>
        </w:rPr>
      </w:pPr>
      <w:r>
        <w:rPr>
          <w:rFonts w:ascii="Arial" w:cs="Arial" w:eastAsia="Arial" w:hAnsi="Arial"/>
          <w:sz w:val="17"/>
          <w:szCs w:val="17"/>
          <w:color w:val="auto"/>
        </w:rPr>
        <w:t>If safe and effective use of a drug depends on an in vitro diagnostic, then the FDA may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may will not approve the drug or new indication if the companion diagnostic device is not also approved or cleared for that indication. Approval or clearance of the companion diagnostic device will ensure that the device has been adequately evaluated and has adequate performance characteristics in the intended population. The review of in vitro companion diagnostics in conjunction with the review of our product candidates will, therefore, likely involve coordination of review by the FDA’s Center for Drug Evaluation and Research and the FDA’s Center for Devices and Radiological Health Office of In Vitro Diagnostics and Radiological Health.</w:t>
      </w:r>
    </w:p>
    <w:p>
      <w:pPr>
        <w:spacing w:after="0" w:line="181"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Under the FDCA, in vitro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clearance of a premarket notification pursuant to Section 510(k) of the FDCA, also called 510(k) clearance, and approval of a premarket approval application, or PMA.</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or QSR, which imposes elaborate testing, control, documentation and other quality assurance requirements.</w:t>
      </w:r>
    </w:p>
    <w:p>
      <w:pPr>
        <w:spacing w:after="0" w:line="166"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post-approval requirements, conditions of approval or other regulatory standards are not maintained or problems are identified following initial marketing.</w:t>
      </w:r>
    </w:p>
    <w:p>
      <w:pPr>
        <w:spacing w:after="0" w:line="182"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25" w:lineRule="exact"/>
        <w:rPr>
          <w:sz w:val="20"/>
          <w:szCs w:val="20"/>
          <w:color w:val="auto"/>
        </w:rPr>
      </w:pPr>
    </w:p>
    <w:p>
      <w:pPr>
        <w:ind w:left="120" w:right="240" w:firstLine="881"/>
        <w:spacing w:after="0" w:line="272" w:lineRule="auto"/>
        <w:rPr>
          <w:sz w:val="20"/>
          <w:szCs w:val="20"/>
          <w:color w:val="auto"/>
        </w:rPr>
      </w:pPr>
      <w:r>
        <w:rPr>
          <w:rFonts w:ascii="Arial" w:cs="Arial" w:eastAsia="Arial" w:hAnsi="Arial"/>
          <w:sz w:val="17"/>
          <w:szCs w:val="17"/>
          <w:color w:val="auto"/>
        </w:rPr>
        <w:t>Pharmaceutical companies like us are subject to additional healthcare regulation and enforcement by the federal government and by authorities in the states and foreign jurisdictions in which they conduct their business. Such regulation and enforcement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data privacy and security laws and regulations, and transparency laws and regulations with respect to drug pricing and payments and other transfers of value made by pharmaceutical manufacturers to physicians and other health care providers, such as the federal Physician Payments Sunshine Act.</w:t>
      </w:r>
    </w:p>
    <w:p>
      <w:pPr>
        <w:spacing w:after="0" w:line="177"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such as Medicare and Medicaid, and the curtailment or restructuring of our operations.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Coverage and Reimbursement</w:t>
      </w:r>
    </w:p>
    <w:p>
      <w:pPr>
        <w:spacing w:after="0" w:line="225"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 For products administered under the supervision of a physician, obtaining coverage and adequate reimbursement may be particularly difficult because of the higher prices often associated with such drugs.</w:t>
      </w:r>
    </w:p>
    <w:p>
      <w:pPr>
        <w:spacing w:after="0" w:line="178"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17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177"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pricing metrics to the government, including the Average Manufacturer Price, or AMP, and Best Price under the Medicaid Drug Rebate Program, the Medicare Average Sales Price, the 340B Ceiling Price, and Non-Federal AMP reported to the Department of Veteran Affairs, and with respect to Medicaid, pay statutory rebates on utilization of manufacturers’ products by Medicaid beneficiaries. Compliance with these laws and regulations will require significant resources and may have a material adverse effect on our revenues.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25"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84"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referred to as the ACA, was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passed, which substantially changed the way healthcare is financed by both governmental and private insurers, and significantly affected the pharmaceutical industry. Among other changes, the ACA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the CMS to test innovative payment and service delivery models to lower Medicare and Medicaid spending, potentially including prescription drug spending.</w:t>
      </w:r>
    </w:p>
    <w:p>
      <w:pPr>
        <w:spacing w:after="0" w:line="182"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There remain judicial and political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healthcare reform measures of the Biden administration or other efforts, if any, to challenge, repeal or replace the ACA will impact the ACA.</w:t>
      </w:r>
    </w:p>
    <w:p>
      <w:pPr>
        <w:spacing w:after="0" w:line="178"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color w:val="auto"/>
        </w:rPr>
        <w:t>In addition, other legislative changes have been adopted since the ACA was enacted. Most recently, in March 2021, Congress enacted the American Rescue Plan Act of 2021,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 Other changes included aggregate reductions to Medicare payments to providers of 2% per fiscal year, which went into effect on April 1, 2013 and, due to subsequent legislative amendments to the statute, including the Bipartisan Budget Act of 2018, will remain in effect into 2031, with the exception of a temporary suspension from May 1, 2020 through December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66"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This has resulted in several Congressional inquiries and proposed and enacted federal and state regulations designed to, among other things, bring more transparency to product pricing, review the relationship between pricing and manufacturer patient programs, and reform government program reimbursement methodologies for pharmaceutical products.</w:t>
      </w:r>
    </w:p>
    <w:p>
      <w:pPr>
        <w:spacing w:after="0" w:line="187"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Although a number of these and other measures may require additional authorization to become effective, Congress and the Biden administration have each indicated that it will continue to seek new legislative and/or administrative measures to control drug costs.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As of June 30, 2021, we had 15 full-time employees, including a total of six employees with M.D. or Ph.D. degrees. Of these full-time employees, 13 employees are engaged in research and development. None of our employees are represented by labor unions or covered by collective bargaining agreements. We consider our relationship with our employees to be good.</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160" w:firstLine="881"/>
        <w:spacing w:after="0" w:line="255" w:lineRule="auto"/>
        <w:rPr>
          <w:sz w:val="20"/>
          <w:szCs w:val="20"/>
          <w:color w:val="auto"/>
        </w:rPr>
      </w:pPr>
      <w:r>
        <w:rPr>
          <w:rFonts w:ascii="Arial" w:cs="Arial" w:eastAsia="Arial" w:hAnsi="Arial"/>
          <w:sz w:val="18"/>
          <w:szCs w:val="18"/>
          <w:color w:val="auto"/>
        </w:rPr>
        <w:t>Our corporate headquarters are located in Carlsbad, California, where we lease approximately 2,161 square feet of office space, under a lease that expires on November 30, 2021. We do not intend to renew this lease. We have entered into a lease to move our corporate headquarters and laboratory space and occupy approximately 4,734 square feet of lab and office space in Carlsbad, California. This lease commenced in the second quarter of 2021 and will terminate five years following the lease commencement date as defined in the lease agreement. We believe that these existing facilities are adequate for our current needs and that suitable additional or alternative space will be available in the future on commercially reasonable terms, if required.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name, age as of the date of this prospectus and position of each of our executive officers and directors.</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3660" w:type="dxa"/>
            <w:vAlign w:val="bottom"/>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Age</w:t>
            </w:r>
          </w:p>
        </w:tc>
        <w:tc>
          <w:tcPr>
            <w:tcW w:w="2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Position</w:t>
            </w:r>
          </w:p>
        </w:tc>
        <w:tc>
          <w:tcPr>
            <w:tcW w:w="2800" w:type="dxa"/>
            <w:vAlign w:val="bottom"/>
          </w:tcPr>
          <w:p>
            <w:pPr>
              <w:spacing w:after="0"/>
              <w:rPr>
                <w:sz w:val="20"/>
                <w:szCs w:val="20"/>
                <w:color w:val="auto"/>
              </w:rPr>
            </w:pPr>
          </w:p>
        </w:tc>
      </w:tr>
      <w:tr>
        <w:trPr>
          <w:trHeight w:val="209"/>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Todd Harris, Ph.D.</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Bensen</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Operating Officer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Esther van den Boom</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 Swanson, Ph.D.</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Scientific Officer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Hiroomi Tada, M.D., Ph.D.</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Chief Medical Officer</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Hudkins, Ph.D.</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Technology Officer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Piyush Patel, Ph.D.</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Chief Development Officer</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Isan Chen, M.D.</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Gilla Kaplan, Ph.D.</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Nina Kjellson</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Melissa McCracken, Ph.D.</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Robert More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Jake Simson, Ph.D.</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Siddarth Subramony, Ph.D.</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Rehan Verjee</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team</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b w:val="1"/>
          <w:bCs w:val="1"/>
          <w:i w:val="1"/>
          <w:iCs w:val="1"/>
          <w:color w:val="auto"/>
        </w:rPr>
        <w:t xml:space="preserve">Todd Harris, Ph.D. </w:t>
      </w:r>
      <w:r>
        <w:rPr>
          <w:rFonts w:ascii="Arial" w:cs="Arial" w:eastAsia="Arial" w:hAnsi="Arial"/>
          <w:sz w:val="16"/>
          <w:szCs w:val="16"/>
          <w:color w:val="auto"/>
        </w:rPr>
        <w:t>has served as our President, Chief Executive Officer and Secretary since November 2018, as our Treasurer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2019, and as a member of our board of directors since August 2018. Prior to co-founding Tyra, Dr. Harris served in various roles, most recently as Head of Corporate Development and a director at Sienna Biopharmaceuticals, Inc. (SNNA), or Sienna, a clinical-stage biopharmaceutical company, from January 2016 to July 2018 and previously as the founder, Chief Executive Officer, and director of Sienna (then called Sienna Labs) from April 2013 to January 2016. In September 2019, Sienna Biopharmaceuticals filed for voluntary petition to allow restructuring under Chapter 11 of the United States Bankruptcy Code and ceased its operations in December 2019. Before Sienna, Dr. Harris was a consultant at McKinsey &amp; Company in the Health Care Practice Division from September 2008 to December 2012. Dr. Harris currently serves on the board of directors of Primmune Therapeutics, Inc., a biopharmaceutical company focused on the second arm, innate immune system. Dr. Harris holds a Bachelor of Science Degree in Electrical Engineering from Brigham Young University, a Master of Science Degree in Bioengineering from the University of California, San Diego, and a Ph.D. in Medical Engineering and Medical Physics from Massachusetts Institute of Technology. We believe that Dr. Harris’ valuable expertise and perspective he brings in his capacity as our President and Chief Executive Officer, his extensive experience and knowledge in the life sciences industry and his education provide him with the qualifications and skills to serve on our board of directors.</w:t>
      </w:r>
    </w:p>
    <w:p>
      <w:pPr>
        <w:spacing w:after="0" w:line="168"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b w:val="1"/>
          <w:bCs w:val="1"/>
          <w:i w:val="1"/>
          <w:iCs w:val="1"/>
          <w:color w:val="auto"/>
        </w:rPr>
        <w:t xml:space="preserve">Daniel Bensen </w:t>
      </w:r>
      <w:r>
        <w:rPr>
          <w:rFonts w:ascii="Arial" w:cs="Arial" w:eastAsia="Arial" w:hAnsi="Arial"/>
          <w:sz w:val="18"/>
          <w:szCs w:val="18"/>
          <w:color w:val="auto"/>
        </w:rPr>
        <w:t>has served as our Chief Operating Officer since November 2018 and previously also served as a member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from November 2018 to January 2020. Prior to co-founding Tyra with Dr. Harris, Mr. Bensen served as Head of Immunology and Protein Chemistry at Cidara Therapeutics, Inc.</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from March 2014 until November 2018. Before Cidara, Mr. Bensen served as Principal Scientist, Protein Chemistry, and Structural Biology at Trius Therapeutics, Inc. from March 2007 until February 2014. Mr. Bensen holds a Bachelor of Arts Degree in Biology from Point Loma Nazarene University in San Diego, California, and an MBA degree from the University of Southern California, Marshall School of Business.</w:t>
      </w:r>
    </w:p>
    <w:p>
      <w:pPr>
        <w:spacing w:after="0" w:line="16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b w:val="1"/>
          <w:bCs w:val="1"/>
          <w:i w:val="1"/>
          <w:iCs w:val="1"/>
          <w:color w:val="auto"/>
        </w:rPr>
        <w:t xml:space="preserve">Esther van den Boom </w:t>
      </w:r>
      <w:r>
        <w:rPr>
          <w:rFonts w:ascii="Arial" w:cs="Arial" w:eastAsia="Arial" w:hAnsi="Arial"/>
          <w:sz w:val="18"/>
          <w:szCs w:val="18"/>
          <w:color w:val="auto"/>
        </w:rPr>
        <w:t>has served as our Chief Financial Officer since April 2021. Ms. van den Boom served as Chief Accounting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Artiva Biotherapeutics, Inc., from August 2020 to May 2021 and Acting Chief Financial Officer from April 2019 to August 2020. Since April 2013, Ms. van den Boom has served as the Managing Partner of van den Boom &amp; Associates, LLC, and in that capacity provided outside consulting services to Tyra from August 2020 until her appointment as Chief Financial Officer in April 2021. Prior to starting van den Boom &amp; Associates, LLC, Ms. van den Boom was with Ernst &amp; Young LLP, from December 2004 to March 2013, in their San Diego office’s audit practice. Ms. van den Boom received a Bachelor of Arts in Economics from the University of California, San Diego and a Master of Science degree in Accountancy from San Diego State University and is a licensed CPA.</w:t>
      </w:r>
    </w:p>
    <w:p>
      <w:pPr>
        <w:spacing w:after="0" w:line="19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b w:val="1"/>
          <w:bCs w:val="1"/>
          <w:i w:val="1"/>
          <w:iCs w:val="1"/>
          <w:color w:val="auto"/>
        </w:rPr>
        <w:t xml:space="preserve">Ronald V. Swanson, Ph.D. </w:t>
      </w:r>
      <w:r>
        <w:rPr>
          <w:rFonts w:ascii="Arial" w:cs="Arial" w:eastAsia="Arial" w:hAnsi="Arial"/>
          <w:sz w:val="18"/>
          <w:szCs w:val="18"/>
          <w:color w:val="auto"/>
        </w:rPr>
        <w:t>has served as our Chief Scientific Officer since January 2020 and as our consultant from August 2019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2020. Prior to joining Tyra, Dr. Swanson served as Director/Senior Director, Biologics at Johnson &amp; Johnson, Inc. from December 2006 until April 2019 where he ran the Lead Discovery &amp; Optimization group focused on engineering of antibodies, peptides and protein therapeutics. Prior to Johnson &amp; Johnson, Inc., Dr. Swanson was co-founder and Chief Scientific Officer at ActiveSight, the contract crystallography arm of Rigaku Americas Corporation. Dr. Swanson holds a Bachelor of Arts Degree in Biochemistry and Cell Biology from the University of California, San Diego, and a Ph.D. degree in Molecular Biology from the University of California, Berkeley.</w:t>
      </w:r>
    </w:p>
    <w:p>
      <w:pPr>
        <w:spacing w:after="0" w:line="192"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b w:val="1"/>
          <w:bCs w:val="1"/>
          <w:i w:val="1"/>
          <w:iCs w:val="1"/>
          <w:color w:val="auto"/>
        </w:rPr>
        <w:t xml:space="preserve">Hiroomi Tada, M.D., Ph.D. </w:t>
      </w:r>
      <w:r>
        <w:rPr>
          <w:rFonts w:ascii="Arial" w:cs="Arial" w:eastAsia="Arial" w:hAnsi="Arial"/>
          <w:sz w:val="16"/>
          <w:szCs w:val="16"/>
          <w:color w:val="auto"/>
        </w:rPr>
        <w:t>has served as our Chief Medical Officer since November 2020. Prior to joining Tyra, Dr. Tada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Officer at Notable Labs, Inc., a personalized precision oncology company from March 2019 until November 2020. Before Notable Labs, Inc., Dr. Tada served in various roles at Incyte Corp. as Vice President of Translational Sciences for Target Therapies from January 2018 until February 2019, and as Executive Director of Immuno-Oncology Clinical Development from May 2015 until January 2019. Dr. Tada also served in clinical development roles at GlaxoSmithKline and AstraZeneca. Dr. Tada holds a Bachelor of Arts degree from Haverford College, a Ph.D. in Biochemistry and Molecular Biology from Thomas Jefferson University and an M.D. from Jefferson Medical College. Dr. Tada completed his fellowship in Surgical Oncology at the University of Texas, MD Anderson Cancer Center. Prior to joining the pharmaceutical industry, Dr. Tada held faculty appointments as Assistant Professor of Surgery at the University of Massachusetts Medical School and Temple University School of Medicine.</w:t>
      </w:r>
    </w:p>
    <w:p>
      <w:pPr>
        <w:spacing w:after="0" w:line="16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b w:val="1"/>
          <w:bCs w:val="1"/>
          <w:i w:val="1"/>
          <w:iCs w:val="1"/>
          <w:color w:val="auto"/>
        </w:rPr>
        <w:t xml:space="preserve">Robert L. Hudkins, Ph.D. </w:t>
      </w:r>
      <w:r>
        <w:rPr>
          <w:rFonts w:ascii="Arial" w:cs="Arial" w:eastAsia="Arial" w:hAnsi="Arial"/>
          <w:sz w:val="17"/>
          <w:szCs w:val="17"/>
          <w:color w:val="auto"/>
        </w:rPr>
        <w:t>has served as our Chief Technology Officer since January 2021 and served as our Vice President, Chemistry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2020 until January 2021. Prior to joining Tyra, Dr. Hudkins was a consultant at MedChem Consulting LLC, a company providing consultancy services in drug discovery and medicinal chemistry, from September 2018 until January 2020. Before MedChem Consulting LLC, Dr. Hudkins spent his career as Distinguished Scientist III / Senior Research Fellow in Medicinal Chemistry at Teva Pharmaceutical Industries Ltd. from October 2011 until August 2018. Dr. Hudkins holds a Bachelor of Science degree from Barton College, a Master of Science degree in Organic Chemistry from Old Dominion University and a Ph.D. in Medical Chemistry from Virginia Commonwealth University.</w:t>
      </w:r>
    </w:p>
    <w:p>
      <w:pPr>
        <w:spacing w:after="0" w:line="178"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b w:val="1"/>
          <w:bCs w:val="1"/>
          <w:i w:val="1"/>
          <w:iCs w:val="1"/>
          <w:color w:val="auto"/>
        </w:rPr>
        <w:t xml:space="preserve">Piyush Patel, Ph.D. </w:t>
      </w:r>
      <w:r>
        <w:rPr>
          <w:rFonts w:ascii="Arial" w:cs="Arial" w:eastAsia="Arial" w:hAnsi="Arial"/>
          <w:sz w:val="18"/>
          <w:szCs w:val="18"/>
          <w:color w:val="auto"/>
        </w:rPr>
        <w:t>has served as our Chief Development Officer since January 2021. Prior to joining Tyra, Dr. Patel was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Officer at CinRx Pharma, LLC from January 2016 until January 2021. Prior to CinRx Pharma, LLC, Dr. Patel was Senior Director at Teva Pharmaceutical Industries Ltd. from January 1996 until December 2015. With over 29 years of drug development experience, his expertise involves all aspects of nonclinical and product development of small molecules. He has authored several scientific publications and is a co-inventor on multiple patents. Dr. Patel holds a Bachelor of Pharmacy from the Maharaja Sayajirao University of Baroda, and a Master of Science and Ph.D. in Pharmaceutical Sciences from Temple University.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b w:val="1"/>
          <w:bCs w:val="1"/>
          <w:i w:val="1"/>
          <w:iCs w:val="1"/>
          <w:color w:val="auto"/>
        </w:rPr>
        <w:t xml:space="preserve">Isan Chen, M.D. </w:t>
      </w:r>
      <w:r>
        <w:rPr>
          <w:rFonts w:ascii="Arial" w:cs="Arial" w:eastAsia="Arial" w:hAnsi="Arial"/>
          <w:sz w:val="17"/>
          <w:szCs w:val="17"/>
          <w:color w:val="auto"/>
        </w:rPr>
        <w:t>has served as our Chief Medical Advisor since February 2019 and a member of our board of directors since June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Chen has served as the Chief Executive Officer at MBrace Therapeutics, Inc. since May 2020. Before MBrace Therapeutics, Inc., Dr. Chen served as the Executive Vice President and Chief Medical and Development Officer of Mirati Therapeutics, Inc. from September 2013 until May 2020. Prior to Mirati Therapeutics, Inc., Dr. Chen was previously the Chief Medical Officer of Aragon Pharmaceuticals, Inc., which was acquired by Johnson &amp; Johnson, Inc. in July of 2013 and prior to Aragon, Dr. Chen served as Vice President of Tumor Strategy in the oncology business unit at Pfizer. Before joining Pfizer, Dr. Chen practiced medicine as a staff physician at City of Hope Medical Center and later as an assistant professor at the University of Texas, M.D. Anderson Cancer Center. Dr. Chen is currently a member of the board of directors of Treadwell Therapeutics, Inc. Dr. Chen holds an M.D. from University of San Paulo and completed his fellowship in Hematology and Oncology from the University of California, San Diego. Dr. Chen is board certified in internal medicine, hematology and medical oncology with more than 20 years of experience in oncology and clinical trials from first-in-humans through global registration studies. We believe that Dr. Chen’s expertise and executive experience in the life sciences industry, his experience as a director of biopharmaceutical companies and his educational background provide him with the qualifications and skills to serve on our board of directors.</w:t>
      </w:r>
    </w:p>
    <w:p>
      <w:pPr>
        <w:spacing w:after="0" w:line="179"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b w:val="1"/>
          <w:bCs w:val="1"/>
          <w:i w:val="1"/>
          <w:iCs w:val="1"/>
          <w:color w:val="auto"/>
        </w:rPr>
        <w:t xml:space="preserve">Gilla Kaplan, Ph.D. </w:t>
      </w:r>
      <w:r>
        <w:rPr>
          <w:rFonts w:ascii="Arial" w:cs="Arial" w:eastAsia="Arial" w:hAnsi="Arial"/>
          <w:sz w:val="17"/>
          <w:szCs w:val="17"/>
          <w:color w:val="auto"/>
        </w:rPr>
        <w:t>has served as a member of our board of directors since March 2019. Dr. Kaplan currently serves as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director of Gilrose Therapeutics and as Senior Advisor of Medicine Development for Global Health. Before Gilrose, Dr. Kaplan was Senior Advisor from July 2018 until December 2020 at the Bill and Melinda Gates Medical Research Institute (Gates MRI) and the Director of the Global Health Program, Tuberculosis of the Bill and Melinda Gates foundation (BMGF) from January 2014 until April 2018. Her work has encompassed developing a deep understanding of the cellular immune response and how to harness it for host adjunctive therapies. Dr. Kaplan spent her career as an academic research scientist leading her laboratory in investigations focusing on human disease, exploring novel experimental medicine approaches that modulate the immune response for disease control. She was a recipient of multiple grants from the NIH-NIAID and other funding organizations for her research. Dr. Kaplan currently serves on the board of directors of Cerecor Inc. Dr. Kaplan previously served on the board of directors at Celgene Corporation from 1998 to 2018. Dr. Kaplan received a Bachelor of Science degree from Hebrew University, Jerusalem, Israel and a Master of Science and Ph.D. in Cellular Immunology from University of Tromso, Norway. We believe that Dr. Kaplan’s expertise and experience in the life sciences industry, her experience as a director of biotechnology companies and her educational background provide her with the qualifications and skills to serve on our board of directors.</w:t>
      </w:r>
    </w:p>
    <w:p>
      <w:pPr>
        <w:spacing w:after="0" w:line="179"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b w:val="1"/>
          <w:bCs w:val="1"/>
          <w:i w:val="1"/>
          <w:iCs w:val="1"/>
          <w:color w:val="auto"/>
        </w:rPr>
        <w:t xml:space="preserve">Nina Kjellson </w:t>
      </w:r>
      <w:r>
        <w:rPr>
          <w:rFonts w:ascii="Arial" w:cs="Arial" w:eastAsia="Arial" w:hAnsi="Arial"/>
          <w:sz w:val="16"/>
          <w:szCs w:val="16"/>
          <w:color w:val="auto"/>
        </w:rPr>
        <w:t>has served as a member of our board of directors since May 2018. She is currently an investment professional at Canaan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and joined the venture capital firm in 2015. Ms. Kjellson is a Managing Member of Canaan Partners X LLC, the general partner of Canaan X LP, a Managing Member of Canaan Partners XI LLC, the general partner of Canaan XI LP, and a Managing Member of Canaan Partners XII LLC, the general partner of Canaan XII LP. As an investment professional at Canaan, she oversees investments in in biopharmaceutical companies that aim to transform care for patients. In addition to Tyra, some of the investments she actively oversees include PACT Pharma, Sardona, Inc., Tizona Therapeutics, Inc., Trishula, Inc., Vineti, Inc. and WellTok, Inc., on whose boards she has served since December 2020, February 2021, February 2016, August, 2020, January 2020, April 2018 and March 2013, respectively. Ms. Kjellson also previously led investments in Labrys Biologics, Inc. (acquired by Teva Pharmaceutical Industries Ltd.), Tesaro, Inc., Eiger Biopharmaceuticals, Inc., Trius Therapeutics LLC (acquired by Cubist Pharmaceuticals, Inc.) and NovaCardia, Inc. (acquired by Merck &amp; Co., Inc.), among others. As a leader of Canaan’s Women of Venture program, Ms. Kjellson is a vocal advocate for women entrepreneurs and investors. She serves on the board of Essential Access Health, Girl Effect and Life Science Cares. She has co-developed an immersive curriculum for diversity and inclusion in healthcare with Impact Experience, called Impact Experience: HealthEquity. She is an Aspen Institute Health Innovators Fellow. Previously, Ms. Kjellson was a General Partner at InterWest Partners, where she invested in life sciences companies for 14 years and held positions at Bay City Capital, Oracle Partners and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Kaiser Family Foundation. She holds a Bachelor of Arts in Human Biology from Stanford University. We believe that Ms. Kjellson’s expertise and experience in the venture capital industry and her experience as a director of biopharmaceutical companies provide her with the qualifications and skills to serve on our board of directors.</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b w:val="1"/>
          <w:bCs w:val="1"/>
          <w:i w:val="1"/>
          <w:iCs w:val="1"/>
          <w:color w:val="auto"/>
        </w:rPr>
        <w:t xml:space="preserve">Melissa McCracken, Ph.D. </w:t>
      </w:r>
      <w:r>
        <w:rPr>
          <w:rFonts w:ascii="Arial" w:cs="Arial" w:eastAsia="Arial" w:hAnsi="Arial"/>
          <w:sz w:val="17"/>
          <w:szCs w:val="17"/>
          <w:color w:val="auto"/>
        </w:rPr>
        <w:t>has served as a member of our board of directors since March 2021. Since September 2019, Dr. McCracken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a senior associate and currently as a principal at Nextech Invest Ltd., a cancer therapeutics-focused venture capital firm focused almost exclusively on precision therapeutics. Prior to Nextech Invest Ltd., Dr. McCracken was an associate and then senior associate at Third Rock Ventures, LLC from March 2017 until August 2019, a venture capital firm where she focused on scientific due diligence, partnership development and new company formation in oncology and immunology. At Third Rock Ventures, Dr. McCracken helped build and launch Celsius Therapeutics Inc., a company focused on discovering precision therapeutics for oncology and autoimmune from March 2018 to March 2019. Dr. McCracken currently serves as a board observer of IconOvir Bio, Inc., and was previously a board member of ImaginAB Inc. and board observer of Silverback Therapeutics, Inc. Dr. McCracken holds a Bachelor of Science in Biochemistry and Molecular Biology from the University of California, Davis and a Ph.D. in Pharmacology from the University of California, Los Angeles. We believe that Dr. McCracken’s expertise and experience in the venture capital industry, her experience as a director of biopharmaceutical companies and her educational background provide her with the qualifications and skills to serve on our board of directors.</w:t>
      </w:r>
    </w:p>
    <w:p>
      <w:pPr>
        <w:spacing w:after="0" w:line="182"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b w:val="1"/>
          <w:bCs w:val="1"/>
          <w:i w:val="1"/>
          <w:iCs w:val="1"/>
          <w:color w:val="auto"/>
        </w:rPr>
        <w:t xml:space="preserve">Robert More </w:t>
      </w:r>
      <w:r>
        <w:rPr>
          <w:rFonts w:ascii="Arial" w:cs="Arial" w:eastAsia="Arial" w:hAnsi="Arial"/>
          <w:sz w:val="16"/>
          <w:szCs w:val="16"/>
          <w:color w:val="auto"/>
        </w:rPr>
        <w:t>has served as a member of our board of directors since November 2018 and our Chairman since March 2019. Since November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Mr. More has served as Managing Director of Alta Partners, a venture capital firm. From July 2013 to May 2015, Mr. More served as Senior Advisor for the Bill &amp; Melinda Gates Foundation and led its Global Health Venture Initiative. He served as a General Partner of venture capital firms Frazier Healthcare Ventures and Domain Associates from September 2008 to June 2013 and from June 1996 to July 2008, respectively. Mr. More currently serves on the board of directors of Vir Biotechnology, Inc. He also currently serves on the board of directors of the following private companies: Affinivax, Inc., a biotechnology company, Qihan Biotechnology Co. Ltd., a biotechnology company, and Variant Bio, Inc., a biotechnology company. Mr. More previously served on the board of directors of the following public companies: Achaogen, Inc., a biopharmaceutical company, Cartiva, Inc., a medical device company acquired by Wright Medical Group N.V., Neothetics Inc., a pharmaceutical company, Sienna Biopharmaceuticals, now Sienna Biopharmaceuticals, Inc., a biotechnology company, Glaukos Corporation, a medical technology company, and IntraLase Corp., a medical device company acquired by Advanced Medical Optics in 2007. He also previously served on the board of directors of the following life sciences companies: ESP Pharma, Inc., Proxima Therapeutics, Inc., eGenesis Bio, Utah Capital Investment Corporation (UCIC), NovaCardia, Inc., Carticept Medical, Inc., Esprit Pharma, Inc. and Oceana Therapeutics, Inc. Mr. More was a founding member of the board of directors of the Kauffman Fellows Program and previously served on the board of directors of One Revolution and The Foundation for Innovative New Diagnostics (FIND). Mr. More currently serves on one of the governing boards of the Biotechnology Innovation Organization (BIO). He received his Bachelor of Science Degree in Biology from Middlebury College and an MBA from the Darden School of Business Administration at the University of Virginia. We believe that Mr. More is qualified to serve on our board of directors due to his experience serving on the board of directors of biotechnology companies, his extensive experience as a director of public companies, and his investment experience in the life sciences industry.</w:t>
      </w:r>
    </w:p>
    <w:p>
      <w:pPr>
        <w:spacing w:after="0" w:line="174"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b w:val="1"/>
          <w:bCs w:val="1"/>
          <w:i w:val="1"/>
          <w:iCs w:val="1"/>
          <w:color w:val="auto"/>
        </w:rPr>
        <w:t xml:space="preserve">Jake Simson, Ph.D. </w:t>
      </w:r>
      <w:r>
        <w:rPr>
          <w:rFonts w:ascii="Arial" w:cs="Arial" w:eastAsia="Arial" w:hAnsi="Arial"/>
          <w:sz w:val="16"/>
          <w:szCs w:val="16"/>
          <w:color w:val="auto"/>
        </w:rPr>
        <w:t>has served as a member of our board of directors since January 2020. Since December 2020, Dr. Simson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at RA Capital Management L.P., a multi-stage investment manager dedicated to evidence-based investing in public and private healthcare and life science companies developing drugs, medical devices, and diagnostics. Previously, Dr. Simson served as an associate, analyst and principal at RA Capital Management from July 2014 to December 2020. Dr. Simson currently serves on the board of directors for Janux Therapeutics, Inc. and for the following privately held companies: Xenikos, B.V, AavantiBio, Inc., and DiCE Molecules Inc. Dr. Simson holds his Bachelor of Science in Materials Science and Engineering from MIT and a Ph.D. in Biomedical Engineering from Johns Hopkins University. In his doctoral</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research, he investigated clinically translatable treatments for musculoskeletal tissue repair using injectable hydrogels. We believe that Dr. Simson’s expertise and experience in the venture capital industry, his experience as a director of biopharmaceutical companies and his educational background provide him with the qualifications and skills to serve on our board of directors.</w:t>
      </w:r>
    </w:p>
    <w:p>
      <w:pPr>
        <w:spacing w:after="0" w:line="184" w:lineRule="exact"/>
        <w:rPr>
          <w:sz w:val="20"/>
          <w:szCs w:val="20"/>
          <w:color w:val="auto"/>
        </w:rPr>
      </w:pPr>
    </w:p>
    <w:p>
      <w:pPr>
        <w:ind w:left="120" w:right="80" w:firstLine="881"/>
        <w:spacing w:after="0" w:line="288" w:lineRule="auto"/>
        <w:rPr>
          <w:sz w:val="20"/>
          <w:szCs w:val="20"/>
          <w:color w:val="auto"/>
        </w:rPr>
      </w:pPr>
      <w:r>
        <w:rPr>
          <w:rFonts w:ascii="Arial" w:cs="Arial" w:eastAsia="Arial" w:hAnsi="Arial"/>
          <w:sz w:val="16"/>
          <w:szCs w:val="16"/>
          <w:b w:val="1"/>
          <w:bCs w:val="1"/>
          <w:i w:val="1"/>
          <w:iCs w:val="1"/>
          <w:color w:val="auto"/>
        </w:rPr>
        <w:t xml:space="preserve">Siddarth Subramony, Ph.D. </w:t>
      </w:r>
      <w:r>
        <w:rPr>
          <w:rFonts w:ascii="Arial" w:cs="Arial" w:eastAsia="Arial" w:hAnsi="Arial"/>
          <w:sz w:val="16"/>
          <w:szCs w:val="16"/>
          <w:color w:val="auto"/>
        </w:rPr>
        <w:t>has served as a member of our board of directors since January 2020. Since September 2018, Dr. Subramony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Vice President for Boxer Capital, where he is responsible for conducting due diligence of public and private investments in healthcare. Prior to joining Boxer, Dr. Subramony was a Vice President at H.I.G. Capital from February 2016 until August 2018 where he was a member of the investment team for the firm’s dedicated healthcare fund, evaluating public and private investment opportunities in the life sciences and representing H.I.G. on the board of Leiters Pharmacy. Prior to joining H.I.G., Dr. Subramony was a management consultant at the Boston Consulting Group (BCG) from July 2015 until February 2016 and served as a member of the firm’s healthcare practice. Dr. Subramony received a Bachelor of Science in Biomedical Engineering and Economics, summa cum laude, from Rensselaer Polytechnic Institute, an MBA from Harvard Business School and a Ph.D. in Biomedical Engineering from Columbia University, where he was an NSF Graduate Research Fellow. He has authored several scientific publications and is a co-inventor on multiple patents. We believe that Dr. Subramony’s expertise and experience investing in the life science industry and his educational background provide him with the qualifications and skills to serve on our board of directors.</w:t>
      </w:r>
    </w:p>
    <w:p>
      <w:pPr>
        <w:spacing w:after="0" w:line="168" w:lineRule="exact"/>
        <w:rPr>
          <w:sz w:val="20"/>
          <w:szCs w:val="20"/>
          <w:color w:val="auto"/>
        </w:rPr>
      </w:pPr>
    </w:p>
    <w:p>
      <w:pPr>
        <w:ind w:left="120" w:right="180" w:firstLine="881"/>
        <w:spacing w:after="0" w:line="288" w:lineRule="auto"/>
        <w:rPr>
          <w:sz w:val="20"/>
          <w:szCs w:val="20"/>
          <w:color w:val="auto"/>
        </w:rPr>
      </w:pPr>
      <w:r>
        <w:rPr>
          <w:rFonts w:ascii="Arial" w:cs="Arial" w:eastAsia="Arial" w:hAnsi="Arial"/>
          <w:sz w:val="16"/>
          <w:szCs w:val="16"/>
          <w:b w:val="1"/>
          <w:bCs w:val="1"/>
          <w:i w:val="1"/>
          <w:iCs w:val="1"/>
          <w:color w:val="auto"/>
        </w:rPr>
        <w:t xml:space="preserve">Rehan Verjee </w:t>
      </w:r>
      <w:r>
        <w:rPr>
          <w:rFonts w:ascii="Arial" w:cs="Arial" w:eastAsia="Arial" w:hAnsi="Arial"/>
          <w:sz w:val="16"/>
          <w:szCs w:val="16"/>
          <w:color w:val="auto"/>
        </w:rPr>
        <w:t>has served as a member of our board of directors since June 2021. From September 2018 to March 2021, Mr. Verjee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of EMD Serono and Global Head of the Innovative Medicine Franchises for Merck KGaA, Darmstadt, Germany, where he led the North American biopharmaceutical business across the U.S. and Canada in addition to leading the global oncology and neurology &amp; immunology specialty medicine franchises for the healthcare business of Merck KGaA, Darmstadt, Germany. Prior to this role, Mr. Verjee served as Executive Vice President, Chief Marketing and Strategy Officer since October 2015, leading the global franchises of oncology, neurology &amp; immunology, and infertility, in addition to global business development, market access, strategy and portfolio management, marketing operations and the medical device and services unit. Prior to this, he led the Canadian operations as Managing Director of EMD Serono Canada Inc. Mr. Verjee is currently a member of the board of directors of Massachusetts Biotechnology Council. Mr. Verjee holds a Master’s Degree in Molecular and Cellular Biochemistry from the University of Oxford in the U.K, We believe that Mr. Verjee’s experience as a senior executive in the life science industry and his educational background provide him with the qualifications and skills to serve on our board of directors.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 and Other Arrangements</w:t>
      </w:r>
    </w:p>
    <w:p>
      <w:pPr>
        <w:spacing w:after="0" w:line="229"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There are no family relationships among our directors and executive officers. Pursuant to our amended and restated voting agreement, which will terminate upon the completion of this offering, the following directors were designated as members of our board of directors:</w:t>
      </w:r>
    </w:p>
    <w:p>
      <w:pPr>
        <w:spacing w:after="0" w:line="173" w:lineRule="exact"/>
        <w:rPr>
          <w:sz w:val="20"/>
          <w:szCs w:val="20"/>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Dr. Harris, designated pursuant to his service as our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Nina Kjellson, designated by Canaan XI L.P. and its affiliates;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Melissa McCracken, designated by Nextech VI Oncology SCSp;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Robert More, designated by Alta Partners NextGen Fund II, L.P. and its affiliates;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Jake Simson, designated by RA Capital Healthcare Fund, LP, RA Capital Nexus Fund, L.P. and their affiliates;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Siddarth Subramony, designated by Boxer Capital, LLC and its affiliates.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board of directors currently consists of eight members. Our board of directors has determined that all of our directors, other than</w:t>
      </w:r>
    </w:p>
    <w:p>
      <w:pPr>
        <w:spacing w:after="0" w:line="3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Mr. Harris and , are independent directors in accordance with the listing requirements of the Nasdaq Global Market.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Our business and affairs are organized under the direction of our board of directors, which currently consists of nine members. The primary responsibilities of our board of directors are to provide oversight, strategic guidance, counseling and direction to our management. Our board of directors meets on a regular basis and on an ad hoc basis as required.</w:t>
      </w:r>
    </w:p>
    <w:p>
      <w:pPr>
        <w:spacing w:after="0" w:line="184" w:lineRule="exact"/>
        <w:rPr>
          <w:sz w:val="20"/>
          <w:szCs w:val="20"/>
          <w:color w:val="auto"/>
        </w:rPr>
      </w:pPr>
    </w:p>
    <w:p>
      <w:pPr>
        <w:jc w:val="both"/>
        <w:ind w:left="120" w:right="80" w:firstLine="881"/>
        <w:spacing w:after="0" w:line="342"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which will become effective immediately prior to and upon the completion of this offering, respectively, we will divide our board of directors into three classes, as follows:</w:t>
      </w:r>
    </w:p>
    <w:p>
      <w:pPr>
        <w:sectPr>
          <w:pgSz w:w="11900" w:h="16838" w:orient="portrait"/>
          <w:cols w:equalWidth="0" w:num="1">
            <w:col w:w="11140"/>
          </w:cols>
          <w:pgMar w:left="320" w:top="459" w:right="439" w:bottom="1440" w:gutter="0" w:footer="0" w:header="0"/>
        </w:sectPr>
      </w:pPr>
    </w:p>
    <w:p>
      <w:pPr>
        <w:spacing w:after="0" w:line="15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Class I, which will consist of</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whose terms will expire at our annual meeting of stockholders to be held in</w:t>
      </w:r>
    </w:p>
    <w:p>
      <w:pPr>
        <w:spacing w:after="0" w:line="46" w:lineRule="exact"/>
        <w:rPr>
          <w:sz w:val="20"/>
          <w:szCs w:val="20"/>
          <w:color w:val="auto"/>
        </w:rPr>
      </w:pPr>
    </w:p>
    <w:p>
      <w:pPr>
        <w:sectPr>
          <w:pgSz w:w="11900" w:h="16838" w:orient="portrait"/>
          <w:cols w:equalWidth="0" w:num="5">
            <w:col w:w="1160" w:space="260"/>
            <w:col w:w="2100" w:space="580"/>
            <w:col w:w="40" w:space="640"/>
            <w:col w:w="260" w:space="580"/>
            <w:col w:w="5520"/>
          </w:cols>
          <w:pgMar w:left="320" w:top="459" w:right="4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2022;</w:t>
      </w:r>
    </w:p>
    <w:p>
      <w:pPr>
        <w:sectPr>
          <w:pgSz w:w="11900" w:h="16838" w:orient="portrait"/>
          <w:cols w:equalWidth="0" w:num="1">
            <w:col w:w="11140"/>
          </w:cols>
          <w:pgMar w:left="320" w:top="459" w:right="439" w:bottom="1440" w:gutter="0" w:footer="0" w:header="0"/>
          <w:type w:val="continuous"/>
        </w:sectPr>
      </w:pPr>
    </w:p>
    <w:p>
      <w:pPr>
        <w:spacing w:after="0" w:line="26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Class II, which will consist of</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whose terms will expire at our annual meeting of stockholders to be held</w:t>
      </w:r>
    </w:p>
    <w:p>
      <w:pPr>
        <w:spacing w:after="0" w:line="46" w:lineRule="exact"/>
        <w:rPr>
          <w:sz w:val="20"/>
          <w:szCs w:val="20"/>
          <w:color w:val="auto"/>
        </w:rPr>
      </w:pPr>
    </w:p>
    <w:p>
      <w:pPr>
        <w:sectPr>
          <w:pgSz w:w="11900" w:h="16838" w:orient="portrait"/>
          <w:cols w:equalWidth="0" w:num="5">
            <w:col w:w="1160" w:space="260"/>
            <w:col w:w="2160" w:space="580"/>
            <w:col w:w="40" w:space="640"/>
            <w:col w:w="260" w:space="580"/>
            <w:col w:w="5460"/>
          </w:cols>
          <w:pgMar w:left="320" w:top="459" w:right="4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 2023; and</w:t>
      </w:r>
    </w:p>
    <w:p>
      <w:pPr>
        <w:sectPr>
          <w:pgSz w:w="11900" w:h="16838" w:orient="portrait"/>
          <w:cols w:equalWidth="0" w:num="1">
            <w:col w:w="11140"/>
          </w:cols>
          <w:pgMar w:left="320" w:top="459" w:right="439" w:bottom="1440" w:gutter="0" w:footer="0" w:header="0"/>
          <w:type w:val="continuous"/>
        </w:sectPr>
      </w:pPr>
    </w:p>
    <w:p>
      <w:pPr>
        <w:spacing w:after="0" w:line="26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Class III, which will consist of</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whose terms will expire at our annual meeting of stockholders to be held</w:t>
      </w:r>
    </w:p>
    <w:p>
      <w:pPr>
        <w:spacing w:after="0" w:line="46" w:lineRule="exact"/>
        <w:rPr>
          <w:sz w:val="20"/>
          <w:szCs w:val="20"/>
          <w:color w:val="auto"/>
        </w:rPr>
      </w:pPr>
    </w:p>
    <w:p>
      <w:pPr>
        <w:sectPr>
          <w:pgSz w:w="11900" w:h="16838" w:orient="portrait"/>
          <w:cols w:equalWidth="0" w:num="5">
            <w:col w:w="1160" w:space="260"/>
            <w:col w:w="2220" w:space="580"/>
            <w:col w:w="40" w:space="640"/>
            <w:col w:w="260" w:space="580"/>
            <w:col w:w="5400"/>
          </w:cols>
          <w:pgMar w:left="320" w:top="459" w:right="4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 2024.</w:t>
      </w:r>
    </w:p>
    <w:p>
      <w:pPr>
        <w:sectPr>
          <w:pgSz w:w="11900" w:h="16838" w:orient="portrait"/>
          <w:cols w:equalWidth="0" w:num="1">
            <w:col w:w="11140"/>
          </w:cols>
          <w:pgMar w:left="320" w:top="459" w:right="439" w:bottom="1440" w:gutter="0" w:footer="0" w:header="0"/>
          <w:type w:val="continuous"/>
        </w:sectPr>
      </w:pPr>
    </w:p>
    <w:p>
      <w:pPr>
        <w:spacing w:after="0" w:line="234"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At each annual meeting of stockholders to be held after the initial classification, the successors to directors whose terms then expire will serve until the third annual meeting following their election and until their successors are duly elected and qualified. Our amended and restated certificate of incorporation that will go into effect upon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Our board of directors is currently chaired by Mr. More who has authority, among other things, to call and preside over board of directors meetings, to set meeting agendas and to determine materials to be distributed to the board of directors. Accordingly, the Chairman has substantial ability to shape the work of the board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directors. We believe that separation of the positions of Chairman and Chief Executive Officer reinforces the independence of the board of directors in its oversight of our business and affairs. In addition, we have a separate chair for each committee of our board of directors. The chair of each committee is expected to report annually to our board of directors on the activities of their committee in fulfilling their responsibilities as detailed in their respective charters or specify any shortcomings should that be the case.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The audit committee of our board of directors is primarily responsible for overseeing our risk management processes on behalf of our board of directors. Going forward, we expect that the audit committee will receive reports from management periodically regarding our assessment of risks. In addition, the audit committee reports regularly to our board of directors, which also considers our risk profile. The audit committee and our board of directors focus on the most significant risks we face and our general risk management strategies. 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our board of directors. We believe this division of responsibilities is the most effective approach for addressing the risks we face and that our board of directors’ leadership structure, which also emphasizes the independence of our board of directors in its oversight of its business and affairs, supports this approach.</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 and Independence</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has adopted a written charter that satisfies the applicable rules and regulations of the Sarbanes-Oxley Act, the SEC and Nasdaq Listing Rules, which we will post on our website, www.tyra.bio, upon the completion of this offering.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consolidated financial statements. This committee’s responsibilities include, among other things:</w:t>
      </w:r>
    </w:p>
    <w:p>
      <w:pPr>
        <w:spacing w:after="0" w:line="197" w:lineRule="exact"/>
        <w:rPr>
          <w:sz w:val="20"/>
          <w:szCs w:val="20"/>
          <w:color w:val="auto"/>
        </w:rPr>
      </w:pPr>
    </w:p>
    <w:p>
      <w:pPr>
        <w:ind w:left="1420" w:hanging="31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197"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197"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8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on a periodic basis, or as appropriate, any investment policy and recommending to our board of directors any changes to such investment policy;</w:t>
      </w:r>
    </w:p>
    <w:p>
      <w:pPr>
        <w:spacing w:after="0" w:line="197"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252"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transactions and reviewing and monitoring compliance with our code of conduct and ethics; and</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170" w:lineRule="exact"/>
        <w:rPr>
          <w:sz w:val="20"/>
          <w:szCs w:val="20"/>
          <w:color w:val="auto"/>
        </w:rPr>
      </w:pPr>
    </w:p>
    <w:p>
      <w:pPr>
        <w:ind w:left="120" w:right="120" w:firstLine="881"/>
        <w:spacing w:after="0" w:line="258" w:lineRule="auto"/>
        <w:rPr>
          <w:sz w:val="20"/>
          <w:szCs w:val="20"/>
          <w:color w:val="auto"/>
        </w:rPr>
      </w:pPr>
      <w:r>
        <w:rPr>
          <w:rFonts w:ascii="Arial" w:cs="Arial" w:eastAsia="Arial" w:hAnsi="Arial"/>
          <w:sz w:val="18"/>
          <w:szCs w:val="18"/>
          <w:color w:val="auto"/>
        </w:rPr>
        <w:t>The members of our audit committee are , and . serves as the chairperson of the committee. All members of our audit committee meet the requirements for financial literacy under the applicable rules and regulations of the SEC and Nasdaq. Our board of</w:t>
      </w:r>
    </w:p>
    <w:p>
      <w:pPr>
        <w:spacing w:after="0" w:line="1" w:lineRule="exact"/>
        <w:rPr>
          <w:sz w:val="20"/>
          <w:szCs w:val="20"/>
          <w:color w:val="auto"/>
        </w:rPr>
      </w:pPr>
    </w:p>
    <w:p>
      <w:pPr>
        <w:ind w:left="120" w:right="660"/>
        <w:spacing w:after="0" w:line="265" w:lineRule="auto"/>
        <w:rPr>
          <w:sz w:val="20"/>
          <w:szCs w:val="20"/>
          <w:color w:val="auto"/>
        </w:rPr>
      </w:pPr>
      <w:r>
        <w:rPr>
          <w:rFonts w:ascii="Arial" w:cs="Arial" w:eastAsia="Arial" w:hAnsi="Arial"/>
          <w:sz w:val="17"/>
          <w:szCs w:val="17"/>
          <w:color w:val="auto"/>
        </w:rPr>
        <w:t>directors has determined that is an “audit committee financial expert” as defined by applicable SEC rules and has the requisite financial sophistication as defined under the applicable Nasdaq listing standards. Our board of directors has determined each of , and is</w:t>
      </w:r>
    </w:p>
    <w:p>
      <w:pPr>
        <w:ind w:left="120"/>
        <w:spacing w:after="0" w:line="260" w:lineRule="auto"/>
        <w:rPr>
          <w:sz w:val="20"/>
          <w:szCs w:val="20"/>
          <w:color w:val="auto"/>
        </w:rPr>
      </w:pPr>
      <w:r>
        <w:rPr>
          <w:rFonts w:ascii="Arial" w:cs="Arial" w:eastAsia="Arial" w:hAnsi="Arial"/>
          <w:sz w:val="18"/>
          <w:szCs w:val="18"/>
          <w:color w:val="auto"/>
        </w:rPr>
        <w:t>independent under the applicable rules of the SEC and Nasdaq. Upon the listing of our common stock on Nasdaq, the audit committee will operate under a written charter, which the audit committee will review and evaluate at least annually.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w:t>
      </w:r>
    </w:p>
    <w:p>
      <w:pPr>
        <w:spacing w:after="0" w:line="192" w:lineRule="exact"/>
        <w:rPr>
          <w:sz w:val="20"/>
          <w:szCs w:val="20"/>
          <w:color w:val="auto"/>
        </w:rPr>
      </w:pPr>
    </w:p>
    <w:p>
      <w:pPr>
        <w:ind w:left="120" w:right="340" w:firstLine="881"/>
        <w:spacing w:after="0" w:line="258" w:lineRule="auto"/>
        <w:rPr>
          <w:sz w:val="20"/>
          <w:szCs w:val="20"/>
          <w:color w:val="auto"/>
        </w:rPr>
      </w:pPr>
      <w:r>
        <w:rPr>
          <w:rFonts w:ascii="Arial" w:cs="Arial" w:eastAsia="Arial" w:hAnsi="Arial"/>
          <w:sz w:val="18"/>
          <w:szCs w:val="18"/>
          <w:color w:val="auto"/>
        </w:rPr>
        <w:t>The members of our compensation committee are , and . serves as the chairperson of the committee. Our board of directors has determined that each of and is independent under the applicable Nasdaq listing standards, and is a “non-employee</w:t>
      </w:r>
    </w:p>
    <w:p>
      <w:pPr>
        <w:spacing w:after="0" w:line="1" w:lineRule="exact"/>
        <w:rPr>
          <w:sz w:val="20"/>
          <w:szCs w:val="20"/>
          <w:color w:val="auto"/>
        </w:rPr>
      </w:pPr>
    </w:p>
    <w:p>
      <w:pPr>
        <w:ind w:left="120" w:right="20"/>
        <w:spacing w:after="0" w:line="290" w:lineRule="auto"/>
        <w:rPr>
          <w:sz w:val="20"/>
          <w:szCs w:val="20"/>
          <w:color w:val="auto"/>
        </w:rPr>
      </w:pPr>
      <w:r>
        <w:rPr>
          <w:rFonts w:ascii="Arial" w:cs="Arial" w:eastAsia="Arial" w:hAnsi="Arial"/>
          <w:sz w:val="17"/>
          <w:szCs w:val="17"/>
          <w:color w:val="auto"/>
        </w:rPr>
        <w:t>director” as defined in Rule 16b-3 promulgated under the Exchange Act. Upon the listing of our common stock on Nasdaq, the compensation committee will operate under a written charter, which the compensation committee will review and evaluate at least annually.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nominating and corporate governance committee is responsible for assisting our board of directors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and oversight of the evaluation of our board of directors.</w:t>
      </w:r>
    </w:p>
    <w:p>
      <w:pPr>
        <w:sectPr>
          <w:pgSz w:w="11900" w:h="16838" w:orient="portrait"/>
          <w:cols w:equalWidth="0" w:num="1">
            <w:col w:w="11120"/>
          </w:cols>
          <w:pgMar w:left="320" w:top="459" w:right="459" w:bottom="1440" w:gutter="0" w:footer="0" w:header="0"/>
        </w:sectPr>
      </w:pPr>
    </w:p>
    <w:p>
      <w:pPr>
        <w:spacing w:after="0" w:line="19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members of our nominating and corporate governance committee are the committee. Our board of directors has determined that each of , and standards. Upon the listing of our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60" w:hanging="123"/>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and . serves as the chairperson of is independent under the applicable Nasdaq listing</w:t>
      </w:r>
    </w:p>
    <w:p>
      <w:pPr>
        <w:spacing w:after="0" w:line="318" w:lineRule="exact"/>
        <w:rPr>
          <w:sz w:val="20"/>
          <w:szCs w:val="20"/>
          <w:color w:val="auto"/>
        </w:rPr>
      </w:pPr>
    </w:p>
    <w:p>
      <w:pPr>
        <w:sectPr>
          <w:pgSz w:w="11900" w:h="16838" w:orient="portrait"/>
          <w:cols w:equalWidth="0" w:num="2">
            <w:col w:w="6380" w:space="620"/>
            <w:col w:w="412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20"/>
          </w:cols>
          <w:pgMar w:left="320" w:top="459" w:right="45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common stock on Nasdaq, the nominating and corporate governance committee will operate under a written charter, which the nominating and corporate governance committee will review and evaluate at least annually.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None of our current or former executive officers serve as a member of the compensation committee. None of our officers serve, or have served during the last completed fiscal year, on the board of directors or compensation committee, or other committee serving an equivalent function, of any other entity that has one or more of its executive officers serving as a member of our board of directors or our compensation committee. For a description of transactions between us and members of our compensation committee and affiliates of such members, please see “Certain Relationships and Related Party Transactions.”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closing of this offering. Upon the closing of this offering, our code of business conduct and ethics will be available under the Corporate Governance section of our website at www.tyra.bio.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 We have included our website address as an inactive textual reference only.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and the board of directors will take into account many factors, including the following:</w:t>
      </w:r>
    </w:p>
    <w:p>
      <w:pPr>
        <w:spacing w:after="0" w:line="198" w:lineRule="exact"/>
        <w:rPr>
          <w:sz w:val="20"/>
          <w:szCs w:val="20"/>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25" w:lineRule="exact"/>
        <w:rPr>
          <w:sz w:val="20"/>
          <w:szCs w:val="20"/>
          <w:color w:val="auto"/>
        </w:rPr>
      </w:pPr>
    </w:p>
    <w:p>
      <w:pPr>
        <w:jc w:val="both"/>
        <w:ind w:left="120" w:right="340" w:firstLine="881"/>
        <w:spacing w:after="0" w:line="286" w:lineRule="auto"/>
        <w:rPr>
          <w:sz w:val="20"/>
          <w:szCs w:val="20"/>
          <w:color w:val="auto"/>
        </w:rPr>
      </w:pPr>
      <w:r>
        <w:rPr>
          <w:rFonts w:ascii="Arial" w:cs="Arial" w:eastAsia="Arial" w:hAnsi="Arial"/>
          <w:sz w:val="17"/>
          <w:szCs w:val="17"/>
          <w:color w:val="auto"/>
        </w:rPr>
        <w:t>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named executive officers for 2020, which consist of each person who served as our principal executive officer during 2020 and our next two most highly compensated executive officers during 2020, were:</w:t>
      </w:r>
    </w:p>
    <w:p>
      <w:pPr>
        <w:spacing w:after="0" w:line="197"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Todd Harris, Ph.D.,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Daniel Bensen, Chief Operating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Ronald V. Swanson, Ph.D., Chief Scientific Officer.</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following table sets forth information regarding compensation earned with respect to the fiscal year ended December 31, 2020 by our named executive officers.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8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Salary</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380" w:type="dxa"/>
            <w:vAlign w:val="bottom"/>
            <w:vMerge w:val="restart"/>
          </w:tcPr>
          <w:p>
            <w:pPr>
              <w:spacing w:after="0"/>
              <w:rPr>
                <w:sz w:val="12"/>
                <w:szCs w:val="12"/>
                <w:color w:val="auto"/>
              </w:rPr>
            </w:pPr>
          </w:p>
        </w:tc>
        <w:tc>
          <w:tcPr>
            <w:tcW w:w="1240" w:type="dxa"/>
            <w:vAlign w:val="bottom"/>
            <w:vMerge w:val="restart"/>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2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Todd Harris, Ph.D.</w:t>
            </w: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7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2020</w:t>
            </w:r>
          </w:p>
        </w:tc>
        <w:tc>
          <w:tcPr>
            <w:tcW w:w="1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350,200</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677,504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210,120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1,238,836</w:t>
            </w:r>
          </w:p>
        </w:tc>
        <w:tc>
          <w:tcPr>
            <w:tcW w:w="0" w:type="dxa"/>
            <w:vAlign w:val="bottom"/>
          </w:tcPr>
          <w:p>
            <w:pPr>
              <w:spacing w:after="0"/>
              <w:rPr>
                <w:sz w:val="1"/>
                <w:szCs w:val="1"/>
                <w:color w:val="auto"/>
              </w:rPr>
            </w:pPr>
          </w:p>
        </w:tc>
      </w:tr>
      <w:tr>
        <w:trPr>
          <w:trHeight w:val="202"/>
        </w:trPr>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Daniel Bensen</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1760" w:type="dxa"/>
            <w:vAlign w:val="bottom"/>
            <w:gridSpan w:val="3"/>
          </w:tcPr>
          <w:p>
            <w:pPr>
              <w:ind w:left="1240"/>
              <w:spacing w:after="0"/>
              <w:rPr>
                <w:sz w:val="20"/>
                <w:szCs w:val="20"/>
                <w:color w:val="auto"/>
              </w:rPr>
            </w:pPr>
            <w:r>
              <w:rPr>
                <w:rFonts w:ascii="Arial" w:cs="Arial" w:eastAsia="Arial" w:hAnsi="Arial"/>
                <w:sz w:val="18"/>
                <w:szCs w:val="18"/>
                <w:color w:val="auto"/>
              </w:rPr>
              <w:t>2020</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257,500</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211,720</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128,306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115,875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1,069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714,470</w:t>
            </w:r>
          </w:p>
        </w:tc>
        <w:tc>
          <w:tcPr>
            <w:tcW w:w="0" w:type="dxa"/>
            <w:vAlign w:val="bottom"/>
          </w:tcPr>
          <w:p>
            <w:pPr>
              <w:spacing w:after="0"/>
              <w:rPr>
                <w:sz w:val="1"/>
                <w:szCs w:val="1"/>
                <w:color w:val="auto"/>
              </w:rPr>
            </w:pPr>
          </w:p>
        </w:tc>
      </w:tr>
      <w:tr>
        <w:trPr>
          <w:trHeight w:val="202"/>
        </w:trPr>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Ronald V. Swanson, Ph.D.</w:t>
            </w: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Scientific Officer</w:t>
            </w:r>
          </w:p>
        </w:tc>
        <w:tc>
          <w:tcPr>
            <w:tcW w:w="17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2020</w:t>
            </w:r>
          </w:p>
        </w:tc>
        <w:tc>
          <w:tcPr>
            <w:tcW w:w="1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246,771</w:t>
            </w:r>
            <w:r>
              <w:rPr>
                <w:rFonts w:ascii="Arial" w:cs="Arial" w:eastAsia="Arial" w:hAnsi="Arial"/>
                <w:sz w:val="15"/>
                <w:szCs w:val="15"/>
                <w:color w:val="auto"/>
              </w:rPr>
              <w:t>(4)</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128,306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111,047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487,024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85"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named executive officers during fiscal year 2020, calculated in accordance with Financial Accounting Standards Board, or FASB, Accounting Standards Codification, or ASC, Topic 718. Such grant date fair value does not take into account any estimated forfeitures. The assumptions used in calculating the grant date fair value of the awards reported in this column are set forth in Note 7 to our audited financial statements included elsewhere in this prospectus. The amounts reported in this column reflect the accounting cost for the stock options and do not reflect the actual economic value that will be realized by</w:t>
      </w:r>
    </w:p>
    <w:p>
      <w:pPr>
        <w:spacing w:after="0" w:line="1" w:lineRule="exact"/>
        <w:rPr>
          <w:rFonts w:ascii="Arial" w:cs="Arial" w:eastAsia="Arial" w:hAnsi="Arial"/>
          <w:sz w:val="16"/>
          <w:szCs w:val="16"/>
          <w:color w:val="auto"/>
        </w:rPr>
      </w:pPr>
    </w:p>
    <w:p>
      <w:pPr>
        <w:ind w:left="540" w:right="160"/>
        <w:spacing w:after="0" w:line="273" w:lineRule="auto"/>
        <w:rPr>
          <w:rFonts w:ascii="Arial" w:cs="Arial" w:eastAsia="Arial" w:hAnsi="Arial"/>
          <w:sz w:val="16"/>
          <w:szCs w:val="16"/>
          <w:color w:val="auto"/>
        </w:rPr>
      </w:pPr>
      <w:r>
        <w:rPr>
          <w:rFonts w:ascii="Arial" w:cs="Arial" w:eastAsia="Arial" w:hAnsi="Arial"/>
          <w:sz w:val="17"/>
          <w:szCs w:val="17"/>
          <w:color w:val="auto"/>
        </w:rPr>
        <w:t>Dr. Harris, Mr. Bensen or Dr. Swanson upon the vesting of the stock options, the exercise of the stock options or the sale of the common stock underlying such awards. In respect of stock awards, amounts reported reflect the grant date fair value calculated in accordance with ASC, Topic 718 related to common stock Dr. Harris and Mr. Bensen purchased from us in August 2018 and subjected to a vesting condition in January 2020. See “—Narrative to Summary Compensation Table—Equity-Based Incentive Awards.”</w:t>
      </w:r>
    </w:p>
    <w:p>
      <w:pPr>
        <w:spacing w:after="0" w:line="81" w:lineRule="exact"/>
        <w:rPr>
          <w:rFonts w:ascii="Arial" w:cs="Arial" w:eastAsia="Arial" w:hAnsi="Arial"/>
          <w:sz w:val="16"/>
          <w:szCs w:val="16"/>
          <w:color w:val="auto"/>
        </w:rPr>
      </w:pPr>
    </w:p>
    <w:p>
      <w:pPr>
        <w:ind w:left="540" w:hanging="424"/>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disclosed represent performance bonuses earned in 2020 and paid in early 2021.</w:t>
      </w:r>
    </w:p>
    <w:p>
      <w:pPr>
        <w:spacing w:after="0" w:line="130"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named executive officer received $900 for a telephone allowance. Life insurance premiums of $112 and $169 were paid by our company for the benefit of Dr. Harris and Mr. Bensen, respectively.</w:t>
      </w:r>
    </w:p>
    <w:p>
      <w:pPr>
        <w:spacing w:after="0" w:line="75" w:lineRule="exact"/>
        <w:rPr>
          <w:rFonts w:ascii="Arial" w:cs="Arial" w:eastAsia="Arial" w:hAnsi="Arial"/>
          <w:sz w:val="18"/>
          <w:szCs w:val="18"/>
          <w:color w:val="auto"/>
        </w:rPr>
      </w:pPr>
    </w:p>
    <w:p>
      <w:pPr>
        <w:ind w:left="540" w:right="520" w:hanging="424"/>
        <w:spacing w:after="0" w:line="342"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Dr. Swanson joined as Chief Scientific Officer in January 2020, and therefore the base salary amount set forth in the table above reflects the amount earned for the portion of 2020 in which he was employed by us. Dr. Swanson had an annual base salary rate of $257,500 in 2020.</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compensation of our named executive officers is generally determined and approved by our board of directors. The 2020 base salaries of each of our named executive officers are described below under the subsection titled “—Employment Arrangements with our Named Executive Officers.”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Bonus Opportunity</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addition to base salaries, our named executive officers are eligible to receive annual performance-based cash bonuses, which are designed to provide appropriate incentives to our executives to achieve defined annual corporate goals and to reward our executives for individual achievement towards these goals. The annual performance-based bonus each named executive officer is eligible to receive is generally based on the extent to which we achieve the corporate goals that our board of directors establishes each year. At the end of the year, our board of directors reviews our performance against each corporate goal and determines the extent to which we achieved each of our corporate goals.</w:t>
      </w:r>
    </w:p>
    <w:p>
      <w:pPr>
        <w:spacing w:after="0" w:line="176"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board of directors will generally consider each named executive officer’s individual contributions towards reaching our annual corporate goals. For 2020, Dr. Harris’ target bonus was 40% of his then-current base salary, and for each of our other named executive officers, was 30% of their then-current base salary.</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corporate goals the board of directors established for 2020 related to development milestones. In March 2021, our board of directors determined that the 2020 goals were achieved as to 100%, with an additional 50% awarded based on other achievements of the company, as reviewed by the board of directors. The board of directors awarded cash bonuses to Dr. Harris, Mr. Bensen and Dr. Swanson based on this aggregate assessment of 150% achievement.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225"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Our equity-based incentive awards are designed to align our interests and those of our stockholders with those of our employees, including our executive officers. The board of directors or an authorized committee thereof is responsible for approving equity grants.</w:t>
      </w:r>
    </w:p>
    <w:p>
      <w:pPr>
        <w:spacing w:after="0" w:line="146"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Prior to this offering, we have granted stock options and issued restricted stock pursuant to our 2020 Plan and we have issued restricted stock outside of our 2020 Plan to certain of our executives. Following this offering, we will grant equity awards under the terms of our 2021 Plan. The terms of our equity plans are described below under the subsection titled “—Equity Incentive Plans.”</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In January 2020, to induce certain investors to purchase our Series A Preferred Stock, Dr. Harris and Mr. Bensen agreed to subject 428,800 and 134,000, respectively, of shares of common stock they acquired from us in August 2018 to a vesting condition. Dr. Harris vests in 11,911 shares monthly for 35 months commencing January 31, 2020 and 11,915 shares in January of 2023, subject to his continuous service with us as of each vesting date. Mr. Bensen vests in 3,722 shares monthly for 35 months commencing January 31, 2020 and 3,730 shares in January of 2023, subject to his continuous service with us as of each vesting date. If their respective employment ends other than due to an “involuntary termination” as defined in their respective employment agreements, we may repurchase the unvested shares for $0.0001 per share. The vesting is subject to acceleration in the event of a “change in control” as described below under the subsection titled “Equity Incentive Plans—Change in Control – Potential Payments upon Termination or Change in Control.”</w:t>
      </w:r>
    </w:p>
    <w:p>
      <w:pPr>
        <w:spacing w:after="0" w:line="178"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In January 2020, our board of directors granted options under our 2020 Plan to purchase 104,000 shares to each Mr. Bensen and Dr. Swanson. Each option has an exercise price of $1.58 per share, the fair market value on the date of grant as determined by our Board. The options vest with respect to 25% or 26,000 of the shares on the one-year anniversary of the January 27, 2020 and January 16, 2020 vesting commencement dates, respectively, 2,167 shares monthly thereafter for 35 months and 2,155 share on the 36th month thereafter, subject to the respective named executive officer’s continuous service with us as of each such vesting date. The options granted to each of our NEOs in 2020 are also subject to potential acceleration of vesting in connection with a change of control, as described below under the subsection titled “Equity Incentive Plans—Change in Control – Potential Payments upon Termination or Change in Control.”</w:t>
      </w:r>
    </w:p>
    <w:p>
      <w:pPr>
        <w:spacing w:after="0" w:line="177"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In March 2021, our board of directors granted options under our 2020 Plan to purchase 233,778 shares to Dr. Harris and 51,951 shares to Mr. Bensen and Dr. Swanson. For Dr. Harris, the option has an exercise price of $5.83 per share, which was the fair market value per share of our common stock on the date of the grant, 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determined by our board of directors, and 4,870 shares will vest and become exercisable monthly, provided that on the 48th month after the date of the grant, 4,888 shares will vest and become exercisable. Each of Mr. Bensen and Dr. Swanson’s options has an exercise price of $5.83 per share, which was the fair market value per share of our common stock on the date of grant, as determined by our board of directors, and 1,082 shares shall vest and become exercisable monthly, provided that on the 48th month after the date of grant, 1,097 shares shall vest and become exercisable. These options are subject to the respective named executive officer’s continuous service with us as of each such vesting date. The options are also subject to potential acceleration of vesting in connection with a change of control.</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following table presents information regarding the outstanding stock options and shares of restricted stock held by each of our named executive officers as of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6"/>
              </w:rPr>
              <w:t>Option Awards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11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6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Shares of</w:t>
            </w: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Shares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vMerge w:val="restart"/>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118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Expiration</w:t>
            </w: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Unexercisable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Vested</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Vested (5)</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Harris, Ph.D.</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285,868</w:t>
            </w:r>
            <w:r>
              <w:rPr>
                <w:rFonts w:ascii="Arial" w:cs="Arial" w:eastAsia="Arial" w:hAnsi="Arial"/>
                <w:sz w:val="15"/>
                <w:szCs w:val="15"/>
                <w:color w:val="auto"/>
                <w:w w:val="98"/>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450,407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Daniel Bensen</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1/27/2020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104,000</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180" w:type="dxa"/>
            <w:vAlign w:val="bottom"/>
            <w:gridSpan w:val="4"/>
          </w:tcPr>
          <w:p>
            <w:pPr>
              <w:ind w:left="180"/>
              <w:spacing w:after="0"/>
              <w:rPr>
                <w:sz w:val="20"/>
                <w:szCs w:val="20"/>
                <w:color w:val="auto"/>
              </w:rPr>
            </w:pPr>
            <w:r>
              <w:rPr>
                <w:rFonts w:ascii="Arial" w:cs="Arial" w:eastAsia="Arial" w:hAnsi="Arial"/>
                <w:sz w:val="18"/>
                <w:szCs w:val="18"/>
                <w:color w:val="auto"/>
              </w:rPr>
              <w:t>1/27/2030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89,336</w:t>
            </w:r>
            <w:r>
              <w:rPr>
                <w:rFonts w:ascii="Arial" w:cs="Arial" w:eastAsia="Arial" w:hAnsi="Arial"/>
                <w:sz w:val="15"/>
                <w:szCs w:val="15"/>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141,151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V. Swanson, Ph.D.</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1/27/2020</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91,000</w:t>
            </w:r>
            <w:r>
              <w:rPr>
                <w:rFonts w:ascii="Arial" w:cs="Arial" w:eastAsia="Arial" w:hAnsi="Arial"/>
                <w:sz w:val="15"/>
                <w:szCs w:val="15"/>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1/27/2030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13,000</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20" w:hanging="424"/>
        <w:spacing w:after="0" w:line="293"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While none of the 104,000 options to purchase our common stock were vested as of December 31, 2020, one-fourth of the shares subject to Mr. Bensen’s option vested on January 27, 2021, and thereafter 2,167 shares vest monthly over 35 months with 2,155 shares vesting in the 36th month, subject to Mr. Bensen’s continuous service with us. The stock option has an early exercise feature that allows Mr. Bensen to exercise the option while unvested and receive restricted shares of our common stock that are subject to forfeiture until the vesting requirement is met. Our 2020 Plan specifically authorizes this early exercise concept and states that employees who exercise unvested options will receive shares of restricted stock with a vesting period that corresponds to the vesting period that remained in the exercised option.</w:t>
      </w:r>
    </w:p>
    <w:p>
      <w:pPr>
        <w:spacing w:after="0" w:line="69" w:lineRule="exact"/>
        <w:rPr>
          <w:rFonts w:ascii="Arial" w:cs="Arial" w:eastAsia="Arial" w:hAnsi="Arial"/>
          <w:sz w:val="16"/>
          <w:szCs w:val="16"/>
          <w:color w:val="auto"/>
        </w:rPr>
      </w:pPr>
    </w:p>
    <w:p>
      <w:pPr>
        <w:ind w:left="540" w:right="40" w:hanging="424"/>
        <w:spacing w:after="0" w:line="259"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Dr. Swanson’s continuous service with us, 13,000 shares subject to the option vest on January 16, 2021 and 2,167 shares vest monthly thereafter over 35 months with 2,155 shares vesting in the 36th month. This option was amended in February of 2021 to permit Dr. Swanson to exercise the option while unvested and receive restricted shares of our common stock that are subject to forfeiture under the vesting requirement is met.</w:t>
      </w:r>
    </w:p>
    <w:p>
      <w:pPr>
        <w:spacing w:after="0" w:line="92" w:lineRule="exact"/>
        <w:rPr>
          <w:rFonts w:ascii="Arial" w:cs="Arial" w:eastAsia="Arial" w:hAnsi="Arial"/>
          <w:sz w:val="18"/>
          <w:szCs w:val="18"/>
          <w:color w:val="auto"/>
        </w:rPr>
      </w:pPr>
    </w:p>
    <w:p>
      <w:pPr>
        <w:ind w:left="540" w:right="20" w:hanging="424"/>
        <w:spacing w:after="0" w:line="259"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restricted shares acquired pursuant to Dr. Swanson’s exercise of an option granted on January 27, 2020 for 13,000 shares that vested on January 16, 2021 with an exercise price of $1.58 per share. Our 2020 Plan specifically authorizes this early exercise concept and states that employees who exercise unvested options will receive shares of restricted stock with a vesting period that corresponds to the vesting period that remained in the exercised option.</w:t>
      </w:r>
    </w:p>
    <w:p>
      <w:pPr>
        <w:spacing w:after="0" w:line="92" w:lineRule="exact"/>
        <w:rPr>
          <w:rFonts w:ascii="Arial" w:cs="Arial" w:eastAsia="Arial" w:hAnsi="Arial"/>
          <w:sz w:val="18"/>
          <w:szCs w:val="18"/>
          <w:color w:val="auto"/>
        </w:rPr>
      </w:pPr>
    </w:p>
    <w:p>
      <w:pPr>
        <w:ind w:left="540" w:right="420" w:hanging="424"/>
        <w:spacing w:after="0" w:line="277"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the options were granted with a per share exercise price equal to the fair market value of one share of our common stock on the date of grant, as determined by our board of directors.</w:t>
      </w:r>
    </w:p>
    <w:p>
      <w:pPr>
        <w:spacing w:after="0" w:line="75" w:lineRule="exact"/>
        <w:rPr>
          <w:rFonts w:ascii="Arial" w:cs="Arial" w:eastAsia="Arial" w:hAnsi="Arial"/>
          <w:sz w:val="18"/>
          <w:szCs w:val="18"/>
          <w:color w:val="auto"/>
        </w:rPr>
      </w:pPr>
    </w:p>
    <w:p>
      <w:pPr>
        <w:ind w:left="540" w:right="140" w:hanging="424"/>
        <w:spacing w:after="0" w:line="263"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amount reflects the fair market value of our common stock of $1.58 per share as of December 31, 2020 (the determination of the fair market value by our board of directors as of the most proximate date prior to then) multiplied by the amount shown in the column for the number of shares that have not vested.</w:t>
      </w:r>
    </w:p>
    <w:p>
      <w:pPr>
        <w:spacing w:after="0" w:line="89" w:lineRule="exact"/>
        <w:rPr>
          <w:rFonts w:ascii="Arial" w:cs="Arial" w:eastAsia="Arial" w:hAnsi="Arial"/>
          <w:sz w:val="18"/>
          <w:szCs w:val="18"/>
          <w:color w:val="auto"/>
        </w:rPr>
      </w:pPr>
    </w:p>
    <w:p>
      <w:pPr>
        <w:ind w:left="540" w:right="60" w:hanging="424"/>
        <w:spacing w:after="0" w:line="296"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unvested shares of restricted stock, which vest 11,911 shares per month for 35 months and 11,915 shares for the 36th month, subject to Dr. Harris’ continuous service with us. In January 2020, to induce certain investors to purchase our Series A Preferred Stock, Dr. Harris agreed to subject 428,800 shares of common stock he acquired from us in August 2018 to a vesting condition. Specifically, Dr. Harris vests in 11,911 shares monthly for 35 months commencing January 31, 2020 and 11,915 shares in January of 2023, subject to his continuous service with us as of each vesting date. If his employment ends other than due to an “involuntary termination” as defined in his employment agreement, we may repurchase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900"/>
        <w:spacing w:after="0" w:line="277" w:lineRule="auto"/>
        <w:rPr>
          <w:sz w:val="20"/>
          <w:szCs w:val="20"/>
          <w:color w:val="auto"/>
        </w:rPr>
      </w:pPr>
      <w:r>
        <w:rPr>
          <w:rFonts w:ascii="Arial" w:cs="Arial" w:eastAsia="Arial" w:hAnsi="Arial"/>
          <w:sz w:val="18"/>
          <w:szCs w:val="18"/>
          <w:color w:val="auto"/>
        </w:rPr>
        <w:t>the unvested shares for $0.0001 per share. The vesting is subject to acceleration in the event of a “change in control” (as defined in his employment agreement).</w:t>
      </w:r>
    </w:p>
    <w:p>
      <w:pPr>
        <w:spacing w:after="0" w:line="197" w:lineRule="exact"/>
        <w:rPr>
          <w:sz w:val="20"/>
          <w:szCs w:val="20"/>
          <w:color w:val="auto"/>
        </w:rPr>
      </w:pPr>
    </w:p>
    <w:p>
      <w:pPr>
        <w:ind w:left="540" w:hanging="424"/>
        <w:spacing w:after="0" w:line="254"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unvested shares of restricted stock, which vest 3,722 share per month for 35 months and 3,730 shares for the 36th month, subject to Mr. Bensen’s continuous service with us. In January 2020, to induce certain investors to purchase our Series A Preferred Stock, Mr. Bensen agreed to subject 134,000 shares of common stock he acquired from us in August 2018 to a vesting condition. Specifically, Mr. Bensen vests in 3,722 shares monthly for 35 months commencing January 31, 2020 and 3,730 shares in January of 2023, subject to his continuous service with us as of each vesting date. If his employment ends other than due to an “involuntary termination” as defined in his employment agreement, we may repurchase the unvested shares for $0.0001 per share. The vesting is subject to acceleration in the event of a “change in control” (as defined in his employment agreement).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b w:val="1"/>
          <w:bCs w:val="1"/>
          <w:i w:val="1"/>
          <w:iCs w:val="1"/>
          <w:color w:val="auto"/>
        </w:rPr>
        <w:t xml:space="preserve">Dr. Harris. </w:t>
      </w:r>
      <w:r>
        <w:rPr>
          <w:rFonts w:ascii="Arial" w:cs="Arial" w:eastAsia="Arial" w:hAnsi="Arial"/>
          <w:sz w:val="16"/>
          <w:szCs w:val="16"/>
          <w:color w:val="auto"/>
        </w:rPr>
        <w:t>We entered into an employment agreement with Dr. Harris in November 2018, which was subsequently amended in January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and which governs the terms of his employment with us. Pursuant to his agreement, Dr. Harris was initially entitled to an annual base salary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$340,000, which was increased to $350,200 in January 2020 and increased to $414,000 in March 2021. He is eligible to receive an annual discretionary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bonus with at a target amount of 40% of his then current annual base salary, based on the achievement of individual and corporate performance targets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metrics as determined by our board of directors.</w:t>
      </w:r>
    </w:p>
    <w:p>
      <w:pPr>
        <w:spacing w:after="0" w:line="21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Dr. Harris’ employment agreement provides for the following benefits in connection with a change of control (as such term is defined below). In the event of a change in control, the vesting of Dr. Harris’ then outstanding unvested time-based vesting equity awards will accelerate as of immediately prior to such change in control with respect to 50% of the unvested shares of our common stock underlying these equity awards. The remaining 50% of the unvested shares of common stock underlying these equity awards will continue to vest at the same rate as immediately prior to the change in control, subject to Dr. Harris’ continued employment with us or our successor through the applicable vesting date. Any portion of Dr. Harris’ outstanding equity awards that remains unvested as of the first anniversary of the change in control will vest in full, subject to Dr. Harris’ continued employment with us or our successor through such first anniversary.</w:t>
      </w:r>
    </w:p>
    <w:p>
      <w:pPr>
        <w:spacing w:after="0" w:line="177"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Regardless of the manner in which Dr. Harris’ employment terminates, he is entitled to receive amounts previously earned during his employment, including unpaid salary, reimbursement of expenses owed, and cash out of accrued but unused paid time-off, subject to his execution of a release of claims and compliance with post-termination obligations. In addition, Dr. Harris is entitled to certain severance benefits under his employment agreement, subject to his execution of a release of claims and compliance with post-termination obligations.</w:t>
      </w:r>
    </w:p>
    <w:p>
      <w:pPr>
        <w:spacing w:after="0" w:line="171"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Dr. Harris’ employment agreement provides for severance benefits for certain terminations that arise during and outside a change of control period. Upon a termination without cause, due to death, due to disability, or resignation for good reason outside of a change of control period (as such terms are defined below), Dr. Harris is entitled to (i) a lump cash sum equal to 12 months of Dr. Harris’ current annual base salary plus Dr. Harris’ then target annual bonus, pro-rated based on the total number of days elapsed in the calendar year as of Dr. Harris’ date of termination, (ii) accelerated vesting of 50% of Dr. Harris’ unvested time-based vesting equity awards as of his date of termination; and (iii) payment or reimbursement of the COBRA premiums for Dr. Harris and his eligible dependents, or if COBRA is not available under our group health plan, the cash amount necessary to maintain his health coverage at the same coverage levels in effect as of the date of his termination, until the earliest of (a) six months from Dr. Harris’ date of termination, or (b) the date Dr. Harris becomes eligible for comparable health insurance coverage under a subsequent employer’s group health plan.</w:t>
      </w:r>
    </w:p>
    <w:p>
      <w:pPr>
        <w:spacing w:after="0" w:line="196"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Upon a termination without cause, due to death, due to disability, or resignation for good reason within 90 days prior to or 18 months after a change of control (such period, the change of control period), Dr. Harris is entitled to (i) a lump cash sum equal to 18 months of Dr. Harris’ current annual base salary plus Dr. Harris’ then target annual bonus (ii) accelerated vesting of 100% of Dr. Harris’ unvested time-based vesting equity awards as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of his date of termination; and (iii) payment or reimbursement of the COBRA premiums for Dr. Harris and his eligible dependents, or if coverage under COBRA is not available under our group health plan, the cash amount necessary to maintain his health coverage at the same coverage levels in effect as of the date of his termination, until the earliest of (a) 12 months from Dr. Harris’ date of termination, or (b) the date Dr. Harris becomes eligible for comparable health insurance coverage under a subsequent employer’s group health plan.</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purposes of Dr. Harris’ employment agreement:</w:t>
      </w:r>
    </w:p>
    <w:p>
      <w:pPr>
        <w:spacing w:after="0" w:line="225" w:lineRule="exact"/>
        <w:rPr>
          <w:sz w:val="20"/>
          <w:szCs w:val="20"/>
          <w:color w:val="auto"/>
        </w:rPr>
      </w:pPr>
    </w:p>
    <w:p>
      <w:pPr>
        <w:ind w:left="1000" w:firstLine="811"/>
        <w:spacing w:after="0" w:line="286" w:lineRule="auto"/>
        <w:rPr>
          <w:sz w:val="20"/>
          <w:szCs w:val="20"/>
          <w:color w:val="auto"/>
        </w:rPr>
      </w:pPr>
      <w:r>
        <w:rPr>
          <w:rFonts w:ascii="Arial" w:cs="Arial" w:eastAsia="Arial" w:hAnsi="Arial"/>
          <w:sz w:val="16"/>
          <w:szCs w:val="16"/>
          <w:color w:val="auto"/>
        </w:rPr>
        <w:t>“cause” means (i) any material failure on the part of Dr. Harris (other than by reason of disability) to faithfully and professionally carry out his duties; (ii) Dr. Harris’ dishonesty or other misconduct, if such dishonesty or other misconduct is intended to or likely to materially injure the business or reputation of us; (iii) Dr. Harris’ conviction or no contest plea to any misdemeanor involving dishonesty, theft, fraud or moral turpitude, or any felony; (iv) Dr. Harris’ insobriety or illegal use of drugs, chemicals or controlled substances either</w:t>
      </w:r>
    </w:p>
    <w:p>
      <w:pPr>
        <w:spacing w:after="0" w:line="1" w:lineRule="exact"/>
        <w:rPr>
          <w:sz w:val="20"/>
          <w:szCs w:val="20"/>
          <w:color w:val="auto"/>
        </w:rPr>
      </w:pPr>
    </w:p>
    <w:p>
      <w:pPr>
        <w:ind w:left="1000" w:right="60" w:hanging="3"/>
        <w:spacing w:after="0" w:line="281" w:lineRule="auto"/>
        <w:tabs>
          <w:tab w:leader="none" w:pos="12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course of performing his duties and responsibilities or (B) otherwise materially affecting the ability of Dr. Harris to perform these duties and responsibilities; (v) Dr. Harris’ material breach of any written agreement with us or any of our affiliates or his material violation of our “code of conduct” or any other material written policy of our company; or (vi) any wanton or willful dereliction of duties by</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Dr. Harris.</w:t>
      </w:r>
    </w:p>
    <w:p>
      <w:pPr>
        <w:spacing w:after="0" w:line="211" w:lineRule="exact"/>
        <w:rPr>
          <w:sz w:val="20"/>
          <w:szCs w:val="20"/>
          <w:color w:val="auto"/>
        </w:rPr>
      </w:pPr>
    </w:p>
    <w:p>
      <w:pPr>
        <w:ind w:left="1000" w:firstLine="811"/>
        <w:spacing w:after="0" w:line="267" w:lineRule="auto"/>
        <w:rPr>
          <w:sz w:val="20"/>
          <w:szCs w:val="20"/>
          <w:color w:val="auto"/>
        </w:rPr>
      </w:pPr>
      <w:r>
        <w:rPr>
          <w:rFonts w:ascii="Arial" w:cs="Arial" w:eastAsia="Arial" w:hAnsi="Arial"/>
          <w:sz w:val="17"/>
          <w:szCs w:val="17"/>
          <w:color w:val="auto"/>
        </w:rPr>
        <w:t>“change in control” means (i) any person or group that becomes the “beneficial owner” as defined in Rule 13d-3 under the Securities Exchange Act of 1934, directly or indirectly, of securities of our company representing 50% or more of the combined voting power of our company then outstanding securities entitled to vote generally in the election of directors, or company voting securities; (ii) the consummation of a merger or consolidation involving our company, where the beneficial owners of our company voting securities outstanding immediately prior to such merger, consolidation or share exchange, do not beneficially own, directly or indirectly, immediately after such merger, consolidation or share exchange, securities representing more than 50% of the combined voting power of the then-outstanding company voting securities; (iii) a sale, exchange or other disposition or transfer (in one transaction or a series of related transactions) of all or substantially all of the assets of our company; provided, however, that a change in control is not deemed to have occurred where: (x) we sell, exchange or otherwise dispose or transfers all or substantially all of our assets to another person or group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or group expressly assumes Dr. Harris’ employment agreement; or (iv) such time as the continuing directors do not constitute at least a majority of the board of directors (or, if applicable, the board of directors of a successor to our company), where the term “continuing director” means at any date a member of the board of directors who was: (x) a member of the board of directors as of the date of Dr. Harris’ employment agreement; or (y) nominated or elected subsequent to the date of Dr. Harris’ employment agreement by at least a majority of the directors who were continuing directors at the time of such nomination or election or whose election to the board of directors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of directors will be a continuing director).</w:t>
      </w:r>
    </w:p>
    <w:p>
      <w:pPr>
        <w:spacing w:after="0" w:line="18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“disability” means permanent and total disability within the meaning of Section 22(e) of the Code.</w:t>
      </w:r>
    </w:p>
    <w:p>
      <w:pPr>
        <w:spacing w:after="0" w:line="225" w:lineRule="exact"/>
        <w:rPr>
          <w:sz w:val="20"/>
          <w:szCs w:val="20"/>
          <w:color w:val="auto"/>
        </w:rPr>
      </w:pPr>
    </w:p>
    <w:p>
      <w:pPr>
        <w:ind w:left="1000" w:right="140" w:firstLine="811"/>
        <w:spacing w:after="0" w:line="277" w:lineRule="auto"/>
        <w:rPr>
          <w:sz w:val="20"/>
          <w:szCs w:val="20"/>
          <w:color w:val="auto"/>
        </w:rPr>
      </w:pPr>
      <w:r>
        <w:rPr>
          <w:rFonts w:ascii="Arial" w:cs="Arial" w:eastAsia="Arial" w:hAnsi="Arial"/>
          <w:sz w:val="18"/>
          <w:szCs w:val="18"/>
          <w:color w:val="auto"/>
        </w:rPr>
        <w:t>“good reason” means, absent Dr. Harris’ prior written consent, (i) the material reduction of his annual base salary (other than as part of a reduction in the base salaries of all or substantially all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53" w:lineRule="auto"/>
        <w:rPr>
          <w:sz w:val="20"/>
          <w:szCs w:val="20"/>
          <w:color w:val="auto"/>
        </w:rPr>
      </w:pPr>
      <w:r>
        <w:rPr>
          <w:rFonts w:ascii="Arial" w:cs="Arial" w:eastAsia="Arial" w:hAnsi="Arial"/>
          <w:sz w:val="18"/>
          <w:szCs w:val="18"/>
          <w:color w:val="auto"/>
        </w:rPr>
        <w:t>other similarly situated employees that is in the same proportion as the reduction in his annual base salary); (ii) a material reduction of Dr. Harris’ duties and responsibilities; (iii) our material breach of the employment agreement (other than a reduction of Dr. Harris’ annual base salary as part of a reduction in the base salaries of all or substantially all other similarly situated employees of our company that is in the same proportion as the reduction in his annual base salary); or (iv) the permanent, non-voluntary relocation of Dr. Harris’ principal place of employment that increases his one-way commute by more than 35 miles, provided, that, in each case, Dr. Harris will not be deemed to have good reason unless (A) Dr. Harris first provides the board of directors with written notice of the condition giving rise to good reason within 30 days of its initial occurrence, (B) we or the successor company fails to cure such condition within 10 days after receiving such written notice, and (C) Dr. Harris’ resignation based on such good reason is effective within 30 days after expiration of our 10 day cure period.</w:t>
      </w:r>
    </w:p>
    <w:p>
      <w:pPr>
        <w:spacing w:after="0" w:line="196" w:lineRule="exact"/>
        <w:rPr>
          <w:sz w:val="20"/>
          <w:szCs w:val="20"/>
          <w:color w:val="auto"/>
        </w:rPr>
      </w:pPr>
    </w:p>
    <w:p>
      <w:pPr>
        <w:ind w:left="120" w:right="100" w:firstLine="881"/>
        <w:spacing w:after="0" w:line="285" w:lineRule="auto"/>
        <w:rPr>
          <w:sz w:val="20"/>
          <w:szCs w:val="20"/>
          <w:color w:val="auto"/>
        </w:rPr>
      </w:pPr>
      <w:r>
        <w:rPr>
          <w:rFonts w:ascii="Arial" w:cs="Arial" w:eastAsia="Arial" w:hAnsi="Arial"/>
          <w:sz w:val="16"/>
          <w:szCs w:val="16"/>
          <w:b w:val="1"/>
          <w:bCs w:val="1"/>
          <w:i w:val="1"/>
          <w:iCs w:val="1"/>
          <w:color w:val="auto"/>
        </w:rPr>
        <w:t xml:space="preserve">Mr. Bensen. </w:t>
      </w:r>
      <w:r>
        <w:rPr>
          <w:rFonts w:ascii="Arial" w:cs="Arial" w:eastAsia="Arial" w:hAnsi="Arial"/>
          <w:sz w:val="16"/>
          <w:szCs w:val="16"/>
          <w:color w:val="auto"/>
        </w:rPr>
        <w:t>We entered into an employment agreement with Mr. Bensen in November 2018, which was subsequently amended in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and which governs the terms of his employment with us. Pursuant to his agreement, Mr. Bensen was entitled to an initial annual base salary of $250,000, which was increased to $257,500 in January 2020 and increased to $343,000 in March 2021. He is also eligible to receive an annual discretionary bonus at a target amount of 30% of his then current annual base salary, such target amount to be effective upon the closing of the initial public offering, based on the achievement of individual and corporate performance targets and metrics, as determined by our board of directors.</w:t>
      </w:r>
    </w:p>
    <w:p>
      <w:pPr>
        <w:spacing w:after="0" w:line="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Mr. Bensen was granted a stock option to purchase 104,000 shares in connection with the closing of the company’s Series A Preferred Stock financing in January 2020 and a stock option to purchase 51,951 shares in connection with our Series B closing in March 2021, as described above under “— Equity-Based Incentive Awards.”</w:t>
      </w:r>
    </w:p>
    <w:p>
      <w:pPr>
        <w:spacing w:after="0" w:line="190"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6"/>
          <w:szCs w:val="16"/>
          <w:color w:val="auto"/>
        </w:rPr>
        <w:t>Mr. Bensen’s employment agreement provides for the following benefits in connection with a change of control. In the event of a change in control, the vesting of Mr. Bensen’s then outstanding unvested time-based vesting equity awards will accelerate as of immediately prior to such change in control with respect to 50% of the unvested shares of our common stock underlying these equity awards. The remaining 50% of the unvested shares of common stock underlying these equity awards will continue to vest at the same rate as immediately prior to the change in control, subject to</w:t>
      </w:r>
    </w:p>
    <w:p>
      <w:pPr>
        <w:spacing w:after="0" w:line="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Mr. Bensen’s continued employment with us or our successor through the applicable vesting date. Any portion of Mr. Bensen’s outstanding equity awards that remains unvested as of the first anniversary of the change in control will vest in full, subject to Mr. Bensen’s continued employment with us or our successor through such first anniversary.</w:t>
      </w:r>
    </w:p>
    <w:p>
      <w:pPr>
        <w:spacing w:after="0" w:line="190"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Regardless of the manner in which Mr. Bensen’s employment terminates, he is entitled to receive amounts previously earned during his employment, including unpaid salary, reimbursement of expenses owed, and cash out of accrued but unused paid time-off, subject to his execution of a release of claims and compliance with post-termination obligations. In addition, Mr. Bensen is entitled to certain severance benefits under his employment agreement, subject to his execution of a release of claims and compliance with post-termination obligations.</w:t>
      </w:r>
    </w:p>
    <w:p>
      <w:pPr>
        <w:spacing w:after="0" w:line="171"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Mr. Bensen’s employment agreement provides for severance benefits for certain terminations that arise during and outside a change of control period. Upon a termination without cause, due to death, due to disability, or resignation for good reason outside of a change of control period, Mr. Bensen is entitled to (i) a lump cash sum equal to 12 months of Mr. Bensen’s current annual base salary plus Mr. Bensen’s then target annual bonus, pro-rated based on the total number of days elapsed in the calendar year as of Mr. Bensen’s date of termination, (ii) accelerated vesting of 50% of</w:t>
      </w:r>
    </w:p>
    <w:p>
      <w:pPr>
        <w:spacing w:after="0" w:line="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Mr. Bensen’s unvested time-based vesting equity awards as of his date of termination; and (iii) payment or reimbursement of the COBRA premiums for Mr. Bensen and his eligible dependents, or if coverage under COBRA is not available under our group health plan, the cash amount necessary to maintain his health coverage at the same coverage levels in effect as of the date of his termination, until the earliest of (a) six months from Mr. Bensen’s date of termination, or (b) the date Mr. Bensen becomes eligible for comparable health insurance coverage under a subsequent employer’s group health plan.</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Upon a termination without cause or resignation for good reason within 90 days prior to or 18 months after a change of control (such period, the change of control period), Mr. Bensen is entitled to (i) a lump cash sum equal to 18 months of Mr. Bensen’s current annual base salary plus</w:t>
      </w:r>
    </w:p>
    <w:p>
      <w:pPr>
        <w:ind w:left="120" w:right="80"/>
        <w:spacing w:after="0" w:line="271" w:lineRule="auto"/>
        <w:rPr>
          <w:sz w:val="20"/>
          <w:szCs w:val="20"/>
          <w:color w:val="auto"/>
        </w:rPr>
      </w:pPr>
      <w:r>
        <w:rPr>
          <w:rFonts w:ascii="Arial" w:cs="Arial" w:eastAsia="Arial" w:hAnsi="Arial"/>
          <w:sz w:val="17"/>
          <w:szCs w:val="17"/>
          <w:color w:val="auto"/>
        </w:rPr>
        <w:t>Mr. Bensen’s then target annual bonus, (ii) accelerated vesting of 100% of Mr. Bensen’s unvested time-based vesting equity awards as of his date of termination; and (iii) payment or reimbursement of the COBRA premiums for Mr. Bensen and his eligible dependents, or if coverage under COBRA is not available under our group health plan, the cash amount necessary to maintain his health coverage at the same coverage levels in effect as of the date of his termination, until the earliest of (a) 12 months from Mr. Bensen’s date of termination, or (b) the date Mr. Bensen becomes eligible for comparable health insurance coverage under a subsequent employer’s group health plan.</w:t>
      </w:r>
    </w:p>
    <w:p>
      <w:pPr>
        <w:spacing w:after="0" w:line="178"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For purposes of Mr. Bensen’s employment agreement, “cause,” “change of control,” “change of control period”, “disability” and “good reason” have the same meaning as given to the terms in Dr. Harris’ employment agreement, as described above.</w:t>
      </w:r>
    </w:p>
    <w:p>
      <w:pPr>
        <w:spacing w:after="0" w:line="170"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b w:val="1"/>
          <w:bCs w:val="1"/>
          <w:i w:val="1"/>
          <w:iCs w:val="1"/>
          <w:color w:val="auto"/>
        </w:rPr>
        <w:t xml:space="preserve">Dr. Swanson. </w:t>
      </w:r>
      <w:r>
        <w:rPr>
          <w:rFonts w:ascii="Arial" w:cs="Arial" w:eastAsia="Arial" w:hAnsi="Arial"/>
          <w:sz w:val="17"/>
          <w:szCs w:val="17"/>
          <w:color w:val="auto"/>
        </w:rPr>
        <w:t>We entered into an employment agreement with Dr. Swanson in January 2020 and which governs the terms of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with us. Pursuant to his agreement, Dr. Swanson was entitled to an initial annual base salary of $257,500, which was increased to $343,000 in March 2021. He is also eligible to receive an annual discretionary bonus at a target amount of 30% of his then current annual base salary, such target amount to be effective upon the closing of the initial public offering, based on the achievement of individual and corporate performance targets and metrics, as determined by our board of directors. In addition, pursuant to the employment agreement, Dr. Swanson was granted a stock option to purchase 104,000 shares in connection with his employment and a stock option to purchase 51,951 shares in connection with our Series B closing in March 2021, as described above under “—Equity-Based Incentive Awards.”</w:t>
      </w:r>
    </w:p>
    <w:p>
      <w:pPr>
        <w:spacing w:after="0" w:line="177"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Dr. Swanson’s employment agreement provides for the following benefits in connection with a change of control. In the event of a change in control, the vesting of Dr. Swanson’s then outstanding unvested time-based vesting equity awards will accelerate as of immediately prior to such change in control with respect to 50% of the unvested shares of our common stock underlying these equity awards. The remaining 50% of the unvested shares of common stock underlying these equity awards will continue to vest at the same rate as immediately prior to the change in control, subject to</w:t>
      </w:r>
    </w:p>
    <w:p>
      <w:pPr>
        <w:spacing w:after="0" w:line="1"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Dr. Swanson’s continued employment with us or our successor through the applicable vesting date. Any portion of Dr. Swanson’s outstanding equity awards that remains unvested as of the first anniversary of the change in control will vest in full, subject to Dr. Swanson’s continued employment with us or our successor through such first anniversary.</w:t>
      </w:r>
    </w:p>
    <w:p>
      <w:pPr>
        <w:spacing w:after="0" w:line="190"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Regardless of the manner in which Dr. Swanson’s employment terminates, he is entitled to receive amounts previously earned during his employment, including unpaid salary, reimbursement of expenses owed, and cash out of accrued but unused paid time-off, subject to his execution of a release of claims and compliance with the post-termination obligations. In addition, Dr. Swanson is entitled to certain severance benefits under his employment agreement, subject to his execution of a release of claims and compliance with post-termination obligations.</w:t>
      </w:r>
    </w:p>
    <w:p>
      <w:pPr>
        <w:spacing w:after="0" w:line="157"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Dr. Swanson’s employment agreement provides for severance benefits for certain terminations that arise during and outside a change of control period. Upon a termination without cause, due to death, due to disability, or resignation for good reason outside of a change of control period (as such terms are defined below), Dr. Swanson is entitled to (i) a lump cash sum equal to 12 months of Dr. Swanson’s current annual base salary plus</w:t>
      </w:r>
    </w:p>
    <w:p>
      <w:pPr>
        <w:spacing w:after="0" w:line="2" w:lineRule="exact"/>
        <w:rPr>
          <w:sz w:val="20"/>
          <w:szCs w:val="20"/>
          <w:color w:val="auto"/>
        </w:rPr>
      </w:pPr>
    </w:p>
    <w:p>
      <w:pPr>
        <w:ind w:left="120" w:right="100"/>
        <w:spacing w:after="0" w:line="252" w:lineRule="auto"/>
        <w:rPr>
          <w:sz w:val="20"/>
          <w:szCs w:val="20"/>
          <w:color w:val="auto"/>
        </w:rPr>
      </w:pPr>
      <w:r>
        <w:rPr>
          <w:rFonts w:ascii="Arial" w:cs="Arial" w:eastAsia="Arial" w:hAnsi="Arial"/>
          <w:sz w:val="18"/>
          <w:szCs w:val="18"/>
          <w:color w:val="auto"/>
        </w:rPr>
        <w:t>Dr. Swanson’s then target annual bonus, pro-rated based on the total number of days elapsed in the calendar year as of Dr. Swanson’s date of termination, (ii) accelerated vesting of 50% of Dr. Swanson’s unvested time-based vesting equity awards as of his date of termination; and (iii) payment or reimbursement of the COBRA premiums for Dr. Swanson and his eligible dependents, or if coverage under COBRA is not available under our group health plan, the cash amount necessary to maintain his health coverage at the same coverage levels in effect as of the date of his termination, until the earliest of (a) six months from Dr. Swanson’s date of termination, or (b) the date Dr. Swanson becomes eligible for comparable health insurance coverage under a subsequent employer’s group health plan.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Upon a termination without cause, due to death, due to disability, or resignation for good reason within 90 days prior to or 18 months after a change of control (such period, the change of control period), Dr. Swanson is entitled to (i) a lump cash sum equal to 18 months of Dr. Swanson’s current annual base salary plus Dr. Swanson’s then target annual bonus (ii) accelerated vesting of 100% of Dr. Swanson’s unvested time-based vesting equity awards as of his date of termination; and (iii) payment or reimbursement of the COBRA premiums for Dr. Swanson and his eligible dependents, or if coverage under COBRA is not available under our group health plan, the cash amount necessary to maintain his health coverage at the same coverage levels in effect as of the date of his termination, until the earliest of (a) 12 months from Dr. Swanson’s date of termination, or (b) the date Dr. Swanson becomes eligible for comparable health insurance coverage under a subsequent employer’s group health plan.</w:t>
      </w:r>
    </w:p>
    <w:p>
      <w:pPr>
        <w:spacing w:after="0" w:line="166"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For purposes of Dr. Swanson’s employment agreement, “cause,” “change of control,” “change of control period,” “disability” and “good reason” have the same meaning as given to the terms in Dr. Harris’ employment agreement, as described above.</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Each of our named executive officers’ stock options granted prior to execution of the underwriting agreement for this offering are subject to the terms of the 2020 Plan; a description of the termination and change in control provisions in the 2020 Plan and the form of stock options granted thereunder is provided below under “—Equity Incentive Plans.”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 and Welfare and Retirement Benefits; Perquisites</w:t>
      </w:r>
    </w:p>
    <w:p>
      <w:pPr>
        <w:spacing w:after="0" w:line="229"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120" w:right="60" w:firstLine="881"/>
        <w:spacing w:after="0" w:line="268" w:lineRule="auto"/>
        <w:rPr>
          <w:sz w:val="20"/>
          <w:szCs w:val="20"/>
          <w:color w:val="auto"/>
        </w:rPr>
      </w:pPr>
      <w:r>
        <w:rPr>
          <w:rFonts w:ascii="Arial" w:cs="Arial" w:eastAsia="Arial" w:hAnsi="Arial"/>
          <w:sz w:val="17"/>
          <w:szCs w:val="17"/>
          <w:color w:val="auto"/>
        </w:rPr>
        <w:t>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w:t>
      </w:r>
    </w:p>
    <w:p>
      <w:pPr>
        <w:spacing w:after="0" w:line="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a tax-qualified retirement plan, contributions to the 401(k) plan (except for Roth contributions) and earnings on those contributions are not taxable to the employees until distributed from the 401(k) plan. Our board of directors may elect to adopt qualified or nonqualified benefit plans in the future, if it determines that doing so is in our best interests.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120" w:right="160" w:firstLine="881"/>
        <w:spacing w:after="0" w:line="342" w:lineRule="auto"/>
        <w:rPr>
          <w:sz w:val="20"/>
          <w:szCs w:val="20"/>
          <w:color w:val="auto"/>
        </w:rPr>
      </w:pPr>
      <w:r>
        <w:rPr>
          <w:rFonts w:ascii="Arial" w:cs="Arial" w:eastAsia="Arial" w:hAnsi="Arial"/>
          <w:sz w:val="16"/>
          <w:szCs w:val="16"/>
          <w:color w:val="auto"/>
        </w:rPr>
        <w:t>The principal features of our equity incentive plans are summarized below. These summaries are qualified in their entirety by reference to the actual text of the applicable plan, each of which is filed as an exhibit to the registration statement of which this prospectus is a part.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225"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Prior to this offering, we intend to adopt and ask our stockholders to approve the 2021 Plan, which would become effective in connection with this offering. Under the 2021 Plan, we may grant cash and equity incentive awards to eligible service providers in order to attract, motivate and retain the talent for which we compete. The material terms of the 2021 Plan, as it is currently contemplated, are summarized below. Our board of directors is still in the process of developing, approving and implementing the 2021 Plan and, accordingly, this summary is subject to change.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i w:val="1"/>
          <w:iCs w:val="1"/>
          <w:color w:val="auto"/>
        </w:rPr>
        <w:t xml:space="preserve">Eligibility and administration. </w:t>
      </w:r>
      <w:r>
        <w:rPr>
          <w:rFonts w:ascii="Arial" w:cs="Arial" w:eastAsia="Arial" w:hAnsi="Arial"/>
          <w:sz w:val="17"/>
          <w:szCs w:val="17"/>
          <w:color w:val="auto"/>
        </w:rPr>
        <w:t>Our employees, consultants and directors, and employees and consultants of our subsidiaries, will be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awards under the 2021 Plan. Following our initial public offering, the 2021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2021 Plan, Section 16 of the Exchange Act and/or stock exchange rules, as applicable. The plan administrator will have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 xml:space="preserve">Limitation on awards and shares available. </w:t>
      </w:r>
      <w:r>
        <w:rPr>
          <w:rFonts w:ascii="Arial" w:cs="Arial" w:eastAsia="Arial" w:hAnsi="Arial"/>
          <w:sz w:val="16"/>
          <w:szCs w:val="16"/>
          <w:color w:val="auto"/>
        </w:rPr>
        <w:t>The number of shares initially available for issuance under awards granted pursuant to the 2021</w:t>
      </w:r>
    </w:p>
    <w:p>
      <w:pPr>
        <w:spacing w:after="0" w:line="46"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Plan will be the sum of (1) shares of our common stock, plus (2) any shares of our common stock which, as of the effective date of the 2021 Plan, remain available for issuance under the 2020 Plan, plus (3) any shares subject to outstanding awards under the 2020 Plan as of the effective date of the 2021 Plan that become available for issuance under the 2021 Plan thereafter in accordance with its terms. The number of shares initially available for</w:t>
      </w:r>
    </w:p>
    <w:p>
      <w:pPr>
        <w:spacing w:after="0" w:line="2"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issuance will be increased on January 1 of each calendar year beginning in 2022 and ending in 2031, by an amount equal to the lesser of (a) % of the shares of common stock outstanding on the final day of the immediately preceding calendar year and (b) such smaller number of shares as determined by our board of directors. No more than shares of common stock may be issued upon the exercise of incentive stock options under</w:t>
      </w:r>
    </w:p>
    <w:p>
      <w:pPr>
        <w:ind w:left="120"/>
        <w:spacing w:after="0"/>
        <w:rPr>
          <w:sz w:val="20"/>
          <w:szCs w:val="20"/>
          <w:color w:val="auto"/>
        </w:rPr>
      </w:pPr>
      <w:r>
        <w:rPr>
          <w:rFonts w:ascii="Arial" w:cs="Arial" w:eastAsia="Arial" w:hAnsi="Arial"/>
          <w:sz w:val="16"/>
          <w:szCs w:val="16"/>
          <w:color w:val="auto"/>
        </w:rPr>
        <w:t>the 2021 Plan. Shares issued under the 2021 Plan may be authorized but unissued shares, shares purchased on the open market or treasury shares.</w:t>
      </w:r>
    </w:p>
    <w:p>
      <w:pPr>
        <w:spacing w:after="0" w:line="23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an award under the 2021 Plan or the 2020 Plan expires, lapses or is terminated, exchanged for or settled in cash, surrendered, repurchased, cancelled without having been fully exercised or forfeited, any shares subject to such award will, as applicable, become or again be available for new grants under the 2021 Plan. Awards granted under the 2021 Plan upon the assumption of, or in substitution for, awards authorized or outstanding under a qualifying equity plan maintained by an entity with which we enter into a merger or similar corporate transaction will not reduce the shares available for grant under the 2021 Plan.</w:t>
      </w:r>
    </w:p>
    <w:p>
      <w:pPr>
        <w:spacing w:after="0" w:line="18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The 2021 Plan provides for the grant of stock options, including incentive stock options, or ISOs, and nonqualified stock options,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NSOs; restricted stock; dividend equivalents; restricted stock units, or RSUs; stock appreciation rights, or SARs; and other stock or cash-based awards. Certain awards under the 2021 Plan may constitute or provide for a deferral of compensation, subject to Section 409A of the Internal Revenue Code, which may impose additional requirements on the terms and conditions of such awards. All awards under the 2021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204" w:lineRule="exact"/>
        <w:rPr>
          <w:sz w:val="20"/>
          <w:szCs w:val="20"/>
          <w:color w:val="auto"/>
        </w:rPr>
      </w:pPr>
    </w:p>
    <w:p>
      <w:pPr>
        <w:ind w:left="1420" w:right="20" w:hanging="319"/>
        <w:spacing w:after="0" w:line="284" w:lineRule="auto"/>
        <w:tabs>
          <w:tab w:leader="none" w:pos="142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provide for the purchase of shares of our common stock in the future at an exercise price set on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 ISOs, by contrast to NSOs, may provide tax deferral beyond exercise and favorable capital gains tax treatment to their holders if certain holding period and other requirements of the Internal Revenue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4" w:lineRule="exact"/>
        <w:rPr>
          <w:rFonts w:ascii="Arial" w:cs="Arial" w:eastAsia="Arial" w:hAnsi="Arial"/>
          <w:sz w:val="16"/>
          <w:szCs w:val="16"/>
          <w:color w:val="auto"/>
        </w:rPr>
      </w:pPr>
    </w:p>
    <w:p>
      <w:pPr>
        <w:ind w:left="1420"/>
        <w:spacing w:after="0" w:line="255" w:lineRule="auto"/>
        <w:rPr>
          <w:rFonts w:ascii="Arial" w:cs="Arial" w:eastAsia="Arial" w:hAnsi="Arial"/>
          <w:sz w:val="16"/>
          <w:szCs w:val="16"/>
          <w:color w:val="auto"/>
        </w:rPr>
      </w:pPr>
      <w:r>
        <w:rPr>
          <w:rFonts w:ascii="Arial" w:cs="Arial" w:eastAsia="Arial" w:hAnsi="Arial"/>
          <w:sz w:val="18"/>
          <w:szCs w:val="18"/>
          <w:color w:val="auto"/>
        </w:rPr>
        <w:t>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5" w:lineRule="auto"/>
        <w:tabs>
          <w:tab w:leader="none" w:pos="142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SARs. </w:t>
      </w:r>
      <w:r>
        <w:rPr>
          <w:rFonts w:ascii="Arial" w:cs="Arial" w:eastAsia="Arial" w:hAnsi="Arial"/>
          <w:sz w:val="17"/>
          <w:szCs w:val="17"/>
          <w:color w:val="auto"/>
        </w:rPr>
        <w:t>SARs entitle their holder, upon exercise, to receive from us an amount equal to the appreciation of the shares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203" w:lineRule="exact"/>
        <w:rPr>
          <w:rFonts w:ascii="Arial" w:cs="Arial" w:eastAsia="Arial" w:hAnsi="Arial"/>
          <w:sz w:val="17"/>
          <w:szCs w:val="17"/>
          <w:color w:val="auto"/>
        </w:rPr>
      </w:pPr>
    </w:p>
    <w:p>
      <w:pPr>
        <w:ind w:left="1420" w:right="100" w:hanging="319"/>
        <w:spacing w:after="0" w:line="273" w:lineRule="auto"/>
        <w:tabs>
          <w:tab w:leader="none" w:pos="142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and RSUs. </w:t>
      </w:r>
      <w:r>
        <w:rPr>
          <w:rFonts w:ascii="Arial" w:cs="Arial" w:eastAsia="Arial" w:hAnsi="Arial"/>
          <w:sz w:val="17"/>
          <w:szCs w:val="17"/>
          <w:color w:val="auto"/>
        </w:rPr>
        <w:t>Restricted stock is an award of nontransferable shares of our common stock that remain forfeitable unless</w:t>
      </w:r>
      <w:r>
        <w:rPr>
          <w:rFonts w:ascii="Arial" w:cs="Arial" w:eastAsia="Arial" w:hAnsi="Arial"/>
          <w:sz w:val="17"/>
          <w:szCs w:val="17"/>
          <w:i w:val="1"/>
          <w:iCs w:val="1"/>
          <w:color w:val="auto"/>
        </w:rPr>
        <w:t xml:space="preserve"> </w:t>
      </w:r>
      <w:r>
        <w:rPr>
          <w:rFonts w:ascii="Arial" w:cs="Arial" w:eastAsia="Arial" w:hAnsi="Arial"/>
          <w:sz w:val="17"/>
          <w:szCs w:val="17"/>
          <w:color w:val="auto"/>
        </w:rPr>
        <w:t>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204" w:lineRule="exact"/>
        <w:rPr>
          <w:rFonts w:ascii="Arial" w:cs="Arial" w:eastAsia="Arial" w:hAnsi="Arial"/>
          <w:sz w:val="17"/>
          <w:szCs w:val="17"/>
          <w:color w:val="auto"/>
        </w:rPr>
      </w:pPr>
    </w:p>
    <w:p>
      <w:pPr>
        <w:ind w:left="1420" w:right="40" w:hanging="319"/>
        <w:spacing w:after="0" w:line="293" w:lineRule="auto"/>
        <w:tabs>
          <w:tab w:leader="none" w:pos="142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cash-based awards. </w:t>
      </w:r>
      <w:r>
        <w:rPr>
          <w:rFonts w:ascii="Arial" w:cs="Arial" w:eastAsia="Arial" w:hAnsi="Arial"/>
          <w:sz w:val="16"/>
          <w:szCs w:val="16"/>
          <w:color w:val="auto"/>
        </w:rPr>
        <w:t>Other stock or cash-based awards are awards of cash, fully vested shares of our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191" w:lineRule="exact"/>
        <w:rPr>
          <w:rFonts w:ascii="Arial" w:cs="Arial" w:eastAsia="Arial" w:hAnsi="Arial"/>
          <w:sz w:val="16"/>
          <w:szCs w:val="16"/>
          <w:color w:val="auto"/>
        </w:rPr>
      </w:pPr>
    </w:p>
    <w:p>
      <w:pPr>
        <w:ind w:left="1420" w:right="20" w:hanging="319"/>
        <w:spacing w:after="0" w:line="259"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RSUs or other stock and cash-based awards may be accompanied by the right to receive the equivalent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paid on shares of our common stock prior to the delivery of the underlying shares. Such dividend equivalents will only be paid out to the extent that any vesting conditions are subsequently satisfied, unless otherwise determined by the plan administrator. No dividend equivalents will be payable on stock options or SARs.</w:t>
      </w:r>
    </w:p>
    <w:p>
      <w:pPr>
        <w:spacing w:after="0" w:line="187"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Performance awards include any of the foregoing awards that are granted subject to vesting and/or payment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87"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i w:val="1"/>
          <w:iCs w:val="1"/>
          <w:color w:val="auto"/>
        </w:rPr>
        <w:t xml:space="preserve">Director compensation. </w:t>
      </w:r>
      <w:r>
        <w:rPr>
          <w:rFonts w:ascii="Arial" w:cs="Arial" w:eastAsia="Arial" w:hAnsi="Arial"/>
          <w:sz w:val="16"/>
          <w:szCs w:val="16"/>
          <w:color w:val="auto"/>
        </w:rPr>
        <w:t>The 2021 Plan provides that the plan administrator may establish compensation for non-employee directors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subject to the 2021 Plan’s limitations. Prior to this offering, our stockholders will approve the initial terms of our non-employee director compensation program, which is described below under the heading “Director Compensation.” Our board of directors or its authorized committee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(as determined in accordance with FASB ASC 718, or any successor thereto) of any equity awards granted as compensation</w:t>
      </w:r>
    </w:p>
    <w:p>
      <w:pPr>
        <w:spacing w:after="0" w:line="4" w:lineRule="exact"/>
        <w:rPr>
          <w:sz w:val="20"/>
          <w:szCs w:val="20"/>
          <w:color w:val="auto"/>
        </w:rPr>
      </w:pPr>
    </w:p>
    <w:p>
      <w:pPr>
        <w:ind w:left="120" w:right="100"/>
        <w:spacing w:after="0" w:line="251" w:lineRule="auto"/>
        <w:rPr>
          <w:sz w:val="20"/>
          <w:szCs w:val="20"/>
          <w:color w:val="auto"/>
        </w:rPr>
      </w:pPr>
      <w:r>
        <w:rPr>
          <w:rFonts w:ascii="Arial" w:cs="Arial" w:eastAsia="Arial" w:hAnsi="Arial"/>
          <w:sz w:val="18"/>
          <w:szCs w:val="18"/>
          <w:color w:val="auto"/>
        </w:rPr>
        <w:t>for services as a non-employee director during any calendar year may not exceed $ , increased to $ in the calendar year of a non-employee director’s initial service as a non-employee director or during which a non-employee director serves as chair of our board of directors or lead independent director (which limits will not apply to the compensation for any non-employee director who serves in any capacity in addition to that of a non-employee director for which he or she receives additional compensation or any compensation paid to any non-employee director prior to the calendar year following the calendar year in which this offering occurs). The plan administrator may make exceptions to this limit for individual non-employee directors in extraordinary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9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i w:val="1"/>
          <w:iCs w:val="1"/>
          <w:color w:val="auto"/>
        </w:rPr>
        <w:t xml:space="preserve">Certain transactions. </w:t>
      </w:r>
      <w:r>
        <w:rPr>
          <w:rFonts w:ascii="Arial" w:cs="Arial" w:eastAsia="Arial" w:hAnsi="Arial"/>
          <w:sz w:val="17"/>
          <w:szCs w:val="17"/>
          <w:color w:val="auto"/>
        </w:rPr>
        <w:t>In connection with certain transactions and events affecting our common stock, including a change in control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below), or change in any applicable laws or accounting principles, the plan administrator has broad discretion to take action under the 2021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2021 Plan. In the event of a change in control where the acquirer does not assume awards granted under the 2021 Plan, awards issued under the 2021 Plan shall be subject to accelerated vesting such that 100% of the awards will become vested and exercisable or payable, as applicable. In addition, in the event of certain non-reciprocal transactions with our stockholders (an equity restructuring) the plan administrator will make equitable adjustments to the 2021 Plan and outstanding awards as it deems appropriate to reflect the equity restructuring.</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purposes of the 2021 Plan, a “change in control” means and includes each of the following:</w:t>
      </w:r>
    </w:p>
    <w:p>
      <w:pPr>
        <w:spacing w:after="0" w:line="252" w:lineRule="exact"/>
        <w:rPr>
          <w:sz w:val="20"/>
          <w:szCs w:val="20"/>
          <w:color w:val="auto"/>
        </w:rPr>
      </w:pPr>
    </w:p>
    <w:p>
      <w:pPr>
        <w:ind w:left="1420" w:right="60" w:hanging="319"/>
        <w:spacing w:after="0" w:line="255"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w:t>
      </w:r>
    </w:p>
    <w:p>
      <w:pPr>
        <w:spacing w:after="0" w:line="219"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our board of directors together with any new directors (other than a director designated by a person who shall have entered into an agreement with us to effect a change in control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spacing w:after="0" w:line="286" w:lineRule="auto"/>
        <w:rPr>
          <w:sz w:val="20"/>
          <w:szCs w:val="20"/>
          <w:color w:val="auto"/>
        </w:rPr>
      </w:pPr>
      <w:r>
        <w:rPr>
          <w:rFonts w:ascii="Arial" w:cs="Arial" w:eastAsia="Arial" w:hAnsi="Arial"/>
          <w:sz w:val="17"/>
          <w:szCs w:val="17"/>
          <w:color w:val="auto"/>
        </w:rPr>
        <w:t>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92" w:lineRule="exact"/>
        <w:rPr>
          <w:sz w:val="20"/>
          <w:szCs w:val="20"/>
          <w:color w:val="auto"/>
        </w:rPr>
      </w:pPr>
    </w:p>
    <w:p>
      <w:pPr>
        <w:ind w:left="1420" w:hanging="319"/>
        <w:spacing w:after="0"/>
        <w:tabs>
          <w:tab w:leader="none" w:pos="14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consummation by us (whether directly or indirectly) of (x) a merger, consolidation, reorganization, or business combination or</w:t>
      </w:r>
    </w:p>
    <w:p>
      <w:pPr>
        <w:spacing w:after="0" w:line="34" w:lineRule="exact"/>
        <w:rPr>
          <w:rFonts w:ascii="Arial" w:cs="Arial" w:eastAsia="Arial" w:hAnsi="Arial"/>
          <w:sz w:val="17"/>
          <w:szCs w:val="17"/>
          <w:color w:val="auto"/>
        </w:rPr>
      </w:pPr>
    </w:p>
    <w:p>
      <w:pPr>
        <w:ind w:left="1420" w:right="60"/>
        <w:spacing w:after="0" w:line="260" w:lineRule="auto"/>
        <w:rPr>
          <w:rFonts w:ascii="Arial" w:cs="Arial" w:eastAsia="Arial" w:hAnsi="Arial"/>
          <w:sz w:val="17"/>
          <w:szCs w:val="17"/>
          <w:color w:val="auto"/>
        </w:rPr>
      </w:pPr>
      <w:r>
        <w:rPr>
          <w:rFonts w:ascii="Arial" w:cs="Arial" w:eastAsia="Arial" w:hAnsi="Arial"/>
          <w:sz w:val="18"/>
          <w:szCs w:val="18"/>
          <w:color w:val="auto"/>
        </w:rPr>
        <w:t>(y) a sale or other disposition of all or substantially all of our assets in any single transaction or series of related transactions or (z) the acquisition of assets or stock of another entity, in each case other than a transaction:</w:t>
      </w:r>
    </w:p>
    <w:p>
      <w:pPr>
        <w:spacing w:after="0" w:line="212" w:lineRule="exact"/>
        <w:rPr>
          <w:sz w:val="20"/>
          <w:szCs w:val="20"/>
          <w:color w:val="auto"/>
        </w:rPr>
      </w:pPr>
    </w:p>
    <w:p>
      <w:pPr>
        <w:ind w:left="1740" w:right="20" w:hanging="315"/>
        <w:spacing w:after="0" w:line="257" w:lineRule="auto"/>
        <w:tabs>
          <w:tab w:leader="none" w:pos="1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w:t>
      </w:r>
    </w:p>
    <w:p>
      <w:pPr>
        <w:spacing w:after="0" w:line="214" w:lineRule="exact"/>
        <w:rPr>
          <w:rFonts w:ascii="Arial" w:cs="Arial" w:eastAsia="Arial" w:hAnsi="Arial"/>
          <w:sz w:val="18"/>
          <w:szCs w:val="18"/>
          <w:color w:val="auto"/>
        </w:rPr>
      </w:pPr>
    </w:p>
    <w:p>
      <w:pPr>
        <w:ind w:left="1740" w:hanging="315"/>
        <w:spacing w:after="0" w:line="259" w:lineRule="auto"/>
        <w:tabs>
          <w:tab w:leader="none" w:pos="1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after which no person or group beneficially owns voting securities representing 50% or more of the combined voting power of the successor entity; provided, however, that no person or group shall be treated as beneficially owning 50% or more of the combined voting power of the successor entity solely as a result of the voting power held in our company prior to the consummation of the transaction.</w:t>
      </w:r>
    </w:p>
    <w:p>
      <w:pPr>
        <w:spacing w:after="0" w:line="187" w:lineRule="exact"/>
        <w:rPr>
          <w:sz w:val="20"/>
          <w:szCs w:val="20"/>
          <w:color w:val="auto"/>
        </w:rPr>
      </w:pPr>
    </w:p>
    <w:p>
      <w:pPr>
        <w:ind w:left="120" w:right="60" w:firstLine="881"/>
        <w:spacing w:after="0" w:line="253" w:lineRule="auto"/>
        <w:rPr>
          <w:sz w:val="20"/>
          <w:szCs w:val="20"/>
          <w:color w:val="auto"/>
        </w:rPr>
      </w:pPr>
      <w:r>
        <w:rPr>
          <w:rFonts w:ascii="Arial" w:cs="Arial" w:eastAsia="Arial" w:hAnsi="Arial"/>
          <w:sz w:val="18"/>
          <w:szCs w:val="18"/>
          <w:i w:val="1"/>
          <w:iCs w:val="1"/>
          <w:color w:val="auto"/>
        </w:rPr>
        <w:t xml:space="preserve">Foreign participants, clawback provisions, transferability and participant payments. </w:t>
      </w:r>
      <w:r>
        <w:rPr>
          <w:rFonts w:ascii="Arial" w:cs="Arial" w:eastAsia="Arial" w:hAnsi="Arial"/>
          <w:sz w:val="18"/>
          <w:szCs w:val="18"/>
          <w:color w:val="auto"/>
        </w:rPr>
        <w:t>With respect to foreign participants,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modify award terms, establish subplans and/or adjust other terms and conditions of awards, subject to the share limits described above. All awards will be subject to the provisions of any clawback policy implemented by our company and to the extent set forth in such clawback policy or in the applicable award agreement. With limited exceptions for estate planning, domestic relations orders, certain beneficiary designations and the laws of descent and distribution, awards under the 2021 Plan are generally nontransferable prior to vesting and are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19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i w:val="1"/>
          <w:iCs w:val="1"/>
          <w:color w:val="auto"/>
        </w:rPr>
        <w:t xml:space="preserve">Plan amendment and termination. </w:t>
      </w:r>
      <w:r>
        <w:rPr>
          <w:rFonts w:ascii="Arial" w:cs="Arial" w:eastAsia="Arial" w:hAnsi="Arial"/>
          <w:sz w:val="18"/>
          <w:szCs w:val="18"/>
          <w:color w:val="auto"/>
        </w:rPr>
        <w:t>Our board of directors may amend, suspend or terminate the 2021 Plan at any time; however,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certain changes in our capital structure, stockholder approval will be required for any amendment that increases the number of shares available under the 2021 Plan. The plan administrator will have the authority, without the approval of our stockholders, to amend any outstanding stock option or SAR to reduce its exercise price per share. No award may be granted pursuant to the 2021 Plan after the tenth anniversary of the date on which our board of directors adopts the 2021 Plan.</w:t>
      </w:r>
    </w:p>
    <w:p>
      <w:pPr>
        <w:spacing w:after="0" w:line="188"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i w:val="1"/>
          <w:iCs w:val="1"/>
          <w:color w:val="auto"/>
        </w:rPr>
        <w:t xml:space="preserve">Securities laws. </w:t>
      </w:r>
      <w:r>
        <w:rPr>
          <w:rFonts w:ascii="Arial" w:cs="Arial" w:eastAsia="Arial" w:hAnsi="Arial"/>
          <w:sz w:val="17"/>
          <w:szCs w:val="17"/>
          <w:color w:val="auto"/>
        </w:rPr>
        <w:t>The 2021 Plan is intended to conform to all provisions of the Securities Act, the Exchange Act and any and all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rules promulgated by the SEC thereunder, including, without limitation, Exchange Act Rule 16b-3. The 2021 Plan will be administered, and awards will be granted and may be exercised, only in such a manner as to conform to such laws, rules and regulations.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i w:val="1"/>
          <w:iCs w:val="1"/>
          <w:color w:val="auto"/>
        </w:rPr>
        <w:t xml:space="preserve">Federal income tax consequences. </w:t>
      </w:r>
      <w:r>
        <w:rPr>
          <w:rFonts w:ascii="Arial" w:cs="Arial" w:eastAsia="Arial" w:hAnsi="Arial"/>
          <w:sz w:val="18"/>
          <w:szCs w:val="18"/>
          <w:color w:val="auto"/>
        </w:rPr>
        <w:t>The material federal income tax consequences of the 2021 Plan under current federal income tax law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in the following discussion, which deals with the general U.S. federal income tax principles applicable to the 2021 Plan.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215" w:lineRule="exact"/>
        <w:rPr>
          <w:sz w:val="20"/>
          <w:szCs w:val="20"/>
          <w:color w:val="auto"/>
        </w:rPr>
      </w:pPr>
    </w:p>
    <w:p>
      <w:pPr>
        <w:ind w:left="1420" w:hanging="319"/>
        <w:spacing w:after="0" w:line="253"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and SARs. </w:t>
      </w:r>
      <w:r>
        <w:rPr>
          <w:rFonts w:ascii="Arial" w:cs="Arial" w:eastAsia="Arial" w:hAnsi="Arial"/>
          <w:sz w:val="18"/>
          <w:szCs w:val="18"/>
          <w:color w:val="auto"/>
        </w:rPr>
        <w:t>A 2021 Plan participant generally will not recognize taxable income and we generally will not be entitled to a</w:t>
      </w:r>
      <w:r>
        <w:rPr>
          <w:rFonts w:ascii="Arial" w:cs="Arial" w:eastAsia="Arial" w:hAnsi="Arial"/>
          <w:sz w:val="18"/>
          <w:szCs w:val="18"/>
          <w:i w:val="1"/>
          <w:iCs w:val="1"/>
          <w:color w:val="auto"/>
        </w:rPr>
        <w:t xml:space="preserve"> </w:t>
      </w:r>
      <w:r>
        <w:rPr>
          <w:rFonts w:ascii="Arial" w:cs="Arial" w:eastAsia="Arial" w:hAnsi="Arial"/>
          <w:sz w:val="18"/>
          <w:szCs w:val="18"/>
          <w:color w:val="auto"/>
        </w:rPr>
        <w:t>tax deduction upon the grant of a stock option or SAR. The tax consequences of exercising a stock option and the subsequent disposition of the shares received upon exercise will depend upon whether the option qualifies as an ISO or an NSO. Upon exercising an NSO when the fair market value of our stock is higher than the exercise price of the option, a 2021 Plan participant generally will recognize taxable income at ordinary income tax rates equal to the excess of the fair market value of the stock on the date of exercise over the purchase price, and we (or our subsidiaries, if any) generally will be entitled to a corresponding tax deduction for compensation expense, in the amount equal to the amount by which the fair market value of the shares purchased exceeds the purchase price for the shares. Upon a subsequent sale or other disposition of the option shares, the participant will recognize a short-term or long-term capital gain or loss in the amount of the difference between the sales price of the shares and the participant’s tax basis in the shares.</w:t>
      </w:r>
    </w:p>
    <w:p>
      <w:pPr>
        <w:spacing w:after="0" w:line="194" w:lineRule="exact"/>
        <w:rPr>
          <w:rFonts w:ascii="Arial" w:cs="Arial" w:eastAsia="Arial" w:hAnsi="Arial"/>
          <w:sz w:val="18"/>
          <w:szCs w:val="18"/>
          <w:color w:val="auto"/>
        </w:rPr>
      </w:pPr>
    </w:p>
    <w:p>
      <w:pPr>
        <w:ind w:left="1440" w:right="40"/>
        <w:spacing w:after="0" w:line="291" w:lineRule="auto"/>
        <w:rPr>
          <w:rFonts w:ascii="Arial" w:cs="Arial" w:eastAsia="Arial" w:hAnsi="Arial"/>
          <w:sz w:val="18"/>
          <w:szCs w:val="18"/>
          <w:color w:val="auto"/>
        </w:rPr>
      </w:pPr>
      <w:r>
        <w:rPr>
          <w:rFonts w:ascii="Arial" w:cs="Arial" w:eastAsia="Arial" w:hAnsi="Arial"/>
          <w:sz w:val="16"/>
          <w:szCs w:val="16"/>
          <w:color w:val="auto"/>
        </w:rPr>
        <w:t>Upon exercising an ISO, a 2021 Plan participant generally will not recognize taxable income, and we will not be entitled to a tax deduction for compensation expense. However, upon exercise, the amount by which the fair market value of the shares purchased exceeds the purchase price will be an item of adjustment for 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 exercise. If the sale or disposition occurs before these two periods are satisfied, then a disqualifying disposition generally will result.</w:t>
      </w:r>
    </w:p>
    <w:p>
      <w:pPr>
        <w:spacing w:after="0" w:line="166" w:lineRule="exact"/>
        <w:rPr>
          <w:rFonts w:ascii="Arial" w:cs="Arial" w:eastAsia="Arial" w:hAnsi="Arial"/>
          <w:sz w:val="18"/>
          <w:szCs w:val="18"/>
          <w:color w:val="auto"/>
        </w:rPr>
      </w:pPr>
    </w:p>
    <w:p>
      <w:pPr>
        <w:ind w:left="1440" w:right="60"/>
        <w:spacing w:after="0" w:line="273" w:lineRule="auto"/>
        <w:rPr>
          <w:rFonts w:ascii="Arial" w:cs="Arial" w:eastAsia="Arial" w:hAnsi="Arial"/>
          <w:sz w:val="18"/>
          <w:szCs w:val="18"/>
          <w:color w:val="auto"/>
        </w:rPr>
      </w:pPr>
      <w:r>
        <w:rPr>
          <w:rFonts w:ascii="Arial" w:cs="Arial" w:eastAsia="Arial" w:hAnsi="Arial"/>
          <w:sz w:val="17"/>
          <w:szCs w:val="17"/>
          <w:color w:val="auto"/>
        </w:rPr>
        <w:t>Upon a qualifying disposition of ISO shares, the participant will recognize long-term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 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177" w:lineRule="exact"/>
        <w:rPr>
          <w:rFonts w:ascii="Arial" w:cs="Arial" w:eastAsia="Arial" w:hAnsi="Arial"/>
          <w:sz w:val="18"/>
          <w:szCs w:val="18"/>
          <w:color w:val="auto"/>
        </w:rPr>
      </w:pPr>
    </w:p>
    <w:p>
      <w:pPr>
        <w:ind w:left="1440" w:right="120"/>
        <w:spacing w:after="0" w:line="263" w:lineRule="auto"/>
        <w:rPr>
          <w:rFonts w:ascii="Arial" w:cs="Arial" w:eastAsia="Arial" w:hAnsi="Arial"/>
          <w:sz w:val="18"/>
          <w:szCs w:val="18"/>
          <w:color w:val="auto"/>
        </w:rPr>
      </w:pPr>
      <w:r>
        <w:rPr>
          <w:rFonts w:ascii="Arial" w:cs="Arial" w:eastAsia="Arial" w:hAnsi="Arial"/>
          <w:sz w:val="18"/>
          <w:szCs w:val="18"/>
          <w:color w:val="auto"/>
        </w:rPr>
        <w:t>We will not be entitled to any tax deduction if the participant makes a qualifying disposition of ISO shares. If the participant makes a disqualifying disposition of the shares, we should be entitled to a tax deduction for compensation expense in the amount of the ordinary income recognized by the participant.</w:t>
      </w:r>
    </w:p>
    <w:p>
      <w:pPr>
        <w:spacing w:after="0" w:line="183" w:lineRule="exact"/>
        <w:rPr>
          <w:rFonts w:ascii="Arial" w:cs="Arial" w:eastAsia="Arial" w:hAnsi="Arial"/>
          <w:sz w:val="18"/>
          <w:szCs w:val="18"/>
          <w:color w:val="auto"/>
        </w:rPr>
      </w:pPr>
    </w:p>
    <w:p>
      <w:pPr>
        <w:ind w:left="1440" w:right="40"/>
        <w:spacing w:after="0" w:line="275" w:lineRule="auto"/>
        <w:rPr>
          <w:rFonts w:ascii="Arial" w:cs="Arial" w:eastAsia="Arial" w:hAnsi="Arial"/>
          <w:sz w:val="18"/>
          <w:szCs w:val="18"/>
          <w:color w:val="auto"/>
        </w:rPr>
      </w:pPr>
      <w:r>
        <w:rPr>
          <w:rFonts w:ascii="Arial" w:cs="Arial" w:eastAsia="Arial" w:hAnsi="Arial"/>
          <w:sz w:val="17"/>
          <w:szCs w:val="17"/>
          <w:color w:val="auto"/>
        </w:rPr>
        <w:t>Upon exercising or settling a SAR, a 2021 Plan participant will recognize taxable income at ordinary income tax rates, and we should be entitled to a corresponding tax deduction for compensation expense, in the amount paid or value of the shares issued upon exercise or settlement.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268" w:lineRule="auto"/>
        <w:tabs>
          <w:tab w:leader="none" w:pos="142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Restricted stock and RSUs</w:t>
      </w:r>
      <w:r>
        <w:rPr>
          <w:rFonts w:ascii="Arial" w:cs="Arial" w:eastAsia="Arial" w:hAnsi="Arial"/>
          <w:sz w:val="17"/>
          <w:szCs w:val="17"/>
          <w:color w:val="auto"/>
        </w:rPr>
        <w:t>. A 2021 Plan participant generally will not recognize taxable income at ordinary income tax rates and we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will not be entitled to a tax deduction upon the grant of restricted stock or RSUs. Upon the termination of restrictions on restricted stock or the payment of RSUs, the participant will recognize taxable income at ordinary income tax rates, and we should be entitled to a corresponding tax deduction for compensation expense, in the amount paid to the participant or the amount by which the then fair market value of the shares received by the participant exceeds the amount, if any, paid for them. Upon the subsequent disposition of any shares, the participant will recognize a short-term or long-term capital gain or loss in the amount of the difference between the sales price of the shares and the participant’s tax basis in the shares. However, a 2021 Plan participant granted restricted stock that is subject to forfeiture or repurchase through a vesting schedule such that it is subject to a risk of forfeiture (as defined in Section 83 of the Internal Revenue Code) may make an election under Section 83(b) of the Internal Revenue Code to recognize taxable income at ordinary income tax rates, at the time of the grant, in an amount equal to the fair market value of the shares of common stock on the date of grant, less the amount paid, if any, for the shares. We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we will not be entitled to any additional tax deduction.</w:t>
      </w:r>
    </w:p>
    <w:p>
      <w:pPr>
        <w:spacing w:after="0" w:line="211" w:lineRule="exact"/>
        <w:rPr>
          <w:rFonts w:ascii="Arial" w:cs="Arial" w:eastAsia="Arial" w:hAnsi="Arial"/>
          <w:sz w:val="17"/>
          <w:szCs w:val="17"/>
          <w:color w:val="auto"/>
        </w:rPr>
      </w:pPr>
    </w:p>
    <w:p>
      <w:pPr>
        <w:ind w:left="1420" w:right="100" w:hanging="319"/>
        <w:spacing w:after="0" w:line="272" w:lineRule="auto"/>
        <w:tabs>
          <w:tab w:leader="none" w:pos="142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Other stock or cash-based awards</w:t>
      </w:r>
      <w:r>
        <w:rPr>
          <w:rFonts w:ascii="Arial" w:cs="Arial" w:eastAsia="Arial" w:hAnsi="Arial"/>
          <w:sz w:val="17"/>
          <w:szCs w:val="17"/>
          <w:color w:val="auto"/>
        </w:rPr>
        <w:t>. A 2021 Plan participant will not recognize taxable income and we will not be entitled to a tax</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upon the grant of other stock or cash-based awards until cash or shares are paid or distributed to the participant. At that time, any cash payments or the fair market value of shares that the participant receives will be taxable to the participant at ordinary income tax rates and we should be entitled to a corresponding tax deduction for compensation expense. Payments in shares will be valued at the fair market value of the shares at the time of the payment. Upon the subsequent disposition of the shares, the participant will recognize a short-term or long-term capital gain or loss in the amount of the difference between the sales price of the shares and the participant’s tax basis in the shares.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board of directors and stockholders adopted the 2020 Plan in January 2020. Our 2020 Plan provides for the grant of ISOs within the meaning of Section 422 of the Code to employees, including employees of any parent or subsidiary, and for the grant of NSOs, stock appreciation rights, restricted stock, restricted stock units and unrestricted stock awards to employees, directors and consultants, including employees and consultants of any parent or subsidiary, and nonemployees, non-consultants, and non-directors whom an offer of a service relationship as an employee, consultant, investor director provider, has been or is being extended. Once our 2021 Plan becomes effective, no further grants will be made under our 2020 Plan. Any outstanding awards granted under our 2020 Plan will remain subject to the terms of our 2020 Plan and applicable award agreements.</w:t>
      </w:r>
    </w:p>
    <w:p>
      <w:pPr>
        <w:spacing w:after="0" w:line="16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b w:val="1"/>
          <w:bCs w:val="1"/>
          <w:i w:val="1"/>
          <w:iCs w:val="1"/>
          <w:color w:val="auto"/>
        </w:rPr>
        <w:t xml:space="preserve">Authorized shares. </w:t>
      </w:r>
      <w:r>
        <w:rPr>
          <w:rFonts w:ascii="Arial" w:cs="Arial" w:eastAsia="Arial" w:hAnsi="Arial"/>
          <w:sz w:val="18"/>
          <w:szCs w:val="18"/>
          <w:color w:val="auto"/>
        </w:rPr>
        <w:t>Subject to certain capitalization adjustments, the maximum number of shares of common stock that may be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stock awards under the 2020 Plan will not exceed 1,803,910 shares. Shares subject to stock awards granted under our 2020 Plan that expire, are forfeited or otherwise terminate without being exercised or settled in shares do not reduce the number of shares available for issuance under our 2020 Plan. Additionally, shares used to pay the exercise price of a stock award or to satisfy the tax withholding obligations related to a stock award become available for future grant under our 2020 Plan.</w:t>
      </w:r>
    </w:p>
    <w:p>
      <w:pPr>
        <w:spacing w:after="0" w:line="188"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Our board of directors, or a duly authorized committee of our board of directors to which the board delegates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authority, will administer our 2020 Plan and is referred to as the “plan administrator” herein. Under our 2020 Plan, the plan administrator has the authority to, among other things, determine who will be granted stock awards, to determine the terms and conditions of each stock award (including the number of shares subject to the stock award, when the stock award will vest and, as applicable,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become exercisable), to accelerate the time(s) at which a stock award may vest or be exercised, and to construe and interpret the terms of our 2020 Plan and stock awards granted thereunder.</w:t>
      </w:r>
    </w:p>
    <w:p>
      <w:pPr>
        <w:spacing w:after="0" w:line="170"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ISOs and NSOs are granted under stock option agreements adopted by the plan administrator. The plan administrator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determines the exercise price for stock options, within the terms and conditions of the 2020 Plan, provided that the exercise price of a stock option generally cannot be less than 100% of the fair market value of our common stock on the date of grant (or 110% of the fair market value for certain major stockholders). Options granted under the 2020 Plan vest at the rate specified in the stock option agreement as determined by the plan administrator.</w:t>
      </w:r>
    </w:p>
    <w:p>
      <w:pPr>
        <w:spacing w:after="0" w:line="157"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The plan administrator determines the term of stock options granted under the 2020 Plan, up to a maximum of 10 years (or five years, for certain major stockholders). The plan administrator shall determine the effect on a stock award of the disability, death, retirement, authorized leave of absence, or any other change or purported change in a holder’s status.</w:t>
      </w:r>
    </w:p>
    <w:p>
      <w:pPr>
        <w:spacing w:after="0" w:line="184" w:lineRule="exact"/>
        <w:rPr>
          <w:sz w:val="20"/>
          <w:szCs w:val="20"/>
          <w:color w:val="auto"/>
        </w:rPr>
      </w:pPr>
    </w:p>
    <w:p>
      <w:pPr>
        <w:jc w:val="both"/>
        <w:ind w:left="120" w:firstLine="881"/>
        <w:spacing w:after="0" w:line="257"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(1) cash, check, bank draft, electronic funds transfer or money order payable to us, (2) subject to plan administrator consent, a broker-assisted cashless exercise, (3) subject to plan administrator consent, the tender of shares of our common stock previously owned by the optionholder, (4) subject to plan administrator consent, a net exercise of the option if it is an NSO, (5) a combination of any of the foregoing methods, or (6) other legal consideration approved by the plan administrator.</w:t>
      </w:r>
    </w:p>
    <w:p>
      <w:pPr>
        <w:spacing w:after="0" w:line="18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(i) an option may be transferred pursuant to a domestic relations order and (ii) an optionholder may designate a beneficiary who may exercise the option following the optionholder’s death.</w:t>
      </w:r>
    </w:p>
    <w:p>
      <w:pPr>
        <w:spacing w:after="0" w:line="184"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b w:val="1"/>
          <w:bCs w:val="1"/>
          <w:i w:val="1"/>
          <w:iCs w:val="1"/>
          <w:color w:val="auto"/>
        </w:rPr>
        <w:t xml:space="preserve">Changes to capital structure. </w:t>
      </w:r>
      <w:r>
        <w:rPr>
          <w:rFonts w:ascii="Arial" w:cs="Arial" w:eastAsia="Arial" w:hAnsi="Arial"/>
          <w:sz w:val="16"/>
          <w:szCs w:val="16"/>
          <w:color w:val="auto"/>
        </w:rPr>
        <w:t>The plan administrator shall make appropriate and proportionate adjustments to (1) the class(es)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maximum number of shares reserved for issuance under the 2020 Plan, (2) the class(es) and maximum number of shares that may be issued on the exercise of ISOs, and (3) the class(es) and number of shares and exercise price, strike price, or purchase price, if applicable, of all outstanding stock awards to reflect any increase or decrease in the number of our issued shares of our common stock resulting from a stock split, reverse stock split, stock dividend, combination, recapitalization or reclassification of the shares, merger, consolidation, change in organization form, or any other increase or decrease in the number of our shares of common stock effected without receipt or payment of consideration.</w:t>
      </w:r>
    </w:p>
    <w:p>
      <w:pPr>
        <w:spacing w:after="0" w:line="164"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2020 Plan provides that in the event of a “change in control,” unless otherwise provided in an award agreement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written agreement between us and the award holder, the plan administrator may take one or more of the following actions with respect to such stock awards:</w:t>
      </w:r>
    </w:p>
    <w:p>
      <w:pPr>
        <w:spacing w:after="0" w:line="211" w:lineRule="exact"/>
        <w:rPr>
          <w:sz w:val="20"/>
          <w:szCs w:val="20"/>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for its termination if not exercised (if applicable) at or before the effective time of the transaction;</w:t>
      </w:r>
    </w:p>
    <w:p>
      <w:pPr>
        <w:spacing w:after="0" w:line="252"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transaction, in exchange for such cash consideration (including no consideration for unvested awards) as our board of directors, in its sole discretion, may consider appropriate;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0" w:hanging="319"/>
        <w:spacing w:after="0" w:line="263"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184"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Under the 2020 Plan, a “change in control” is generally defined as any one or more of the following events: (1) a sale of all or substantially all of our assets or similar transaction, (2) the sale or disposition of 50% or more of the combined voting power of our outstanding securities, (3) a merger or consolidation that would have the same effect as the foregoing clause (2).</w:t>
      </w:r>
    </w:p>
    <w:p>
      <w:pPr>
        <w:spacing w:after="0" w:line="184" w:lineRule="exact"/>
        <w:rPr>
          <w:sz w:val="20"/>
          <w:szCs w:val="20"/>
          <w:color w:val="auto"/>
        </w:rPr>
      </w:pPr>
    </w:p>
    <w:p>
      <w:pPr>
        <w:jc w:val="both"/>
        <w:ind w:left="120" w:right="20" w:firstLine="881"/>
        <w:spacing w:after="0" w:line="279" w:lineRule="auto"/>
        <w:rPr>
          <w:sz w:val="20"/>
          <w:szCs w:val="20"/>
          <w:color w:val="auto"/>
        </w:rPr>
      </w:pPr>
      <w:r>
        <w:rPr>
          <w:rFonts w:ascii="Arial" w:cs="Arial" w:eastAsia="Arial" w:hAnsi="Arial"/>
          <w:sz w:val="17"/>
          <w:szCs w:val="17"/>
          <w:b w:val="1"/>
          <w:bCs w:val="1"/>
          <w:i w:val="1"/>
          <w:iCs w:val="1"/>
          <w:color w:val="auto"/>
        </w:rPr>
        <w:t>Plan Amendment or Termination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has the authority to amend, or terminate our 2020 Plan, provided that such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does not impair the vested rights of any participant without such participant’s written consent. Certain material amendments also require the approval of our stockholders. Unless terminated sooner, the 2020 Plan will automatically terminate on January 6, 2030. No stock awards may be granted under our 2020 Plan or after it is terminated. Once the 2021 Plan is effective, no further grants will be made under the 2020 Plan.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Effective the day prior to the first public trading date of our common stock, we intend to adopt and ask our stockholders to approve the ESPP, the material terms of which, as it is currently contemplated, are summarized below. Our board of directors is still in the process of developing, approving and implementing the ESPP and, accordingly, this summary is subject to change.</w:t>
      </w:r>
    </w:p>
    <w:p>
      <w:pPr>
        <w:spacing w:after="0" w:line="184"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The ESPP is comprised of two distinct components in order to provide increased flexibility to grant options to purchase shares under the ESPP to U.S. and to non-U.S. employees. Specifically, the ESPP authorizes (1) the grant of options to U.S. employees that are intended to qualify for favorable U.S. federal tax treatment under Section 423 of the Code, (the “Section 423 Component”), and (2) the grant of options that are not intended to be tax-qualified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9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i w:val="1"/>
          <w:iCs w:val="1"/>
          <w:color w:val="auto"/>
        </w:rPr>
        <w:t xml:space="preserve">Shares available for awards; administration. </w:t>
      </w:r>
      <w:r>
        <w:rPr>
          <w:rFonts w:ascii="Arial" w:cs="Arial" w:eastAsia="Arial" w:hAnsi="Arial"/>
          <w:sz w:val="16"/>
          <w:szCs w:val="16"/>
          <w:color w:val="auto"/>
        </w:rPr>
        <w:t>A total of shares of our common stock will initially be reserved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ESPP. In addition, the number of shares available for issuance under the ESPP will be annually increased on January 1 of each calendar year beginning</w:t>
      </w:r>
    </w:p>
    <w:p>
      <w:pPr>
        <w:ind w:left="120" w:right="60"/>
        <w:spacing w:after="0" w:line="281" w:lineRule="auto"/>
        <w:rPr>
          <w:sz w:val="20"/>
          <w:szCs w:val="20"/>
          <w:color w:val="auto"/>
        </w:rPr>
      </w:pPr>
      <w:r>
        <w:rPr>
          <w:rFonts w:ascii="Arial" w:cs="Arial" w:eastAsia="Arial" w:hAnsi="Arial"/>
          <w:sz w:val="16"/>
          <w:szCs w:val="16"/>
          <w:color w:val="auto"/>
        </w:rPr>
        <w:t>in 2022 and ending in and including 2031, by an amount equal to the lesser of (A) % of the shares outstanding on the final day of the immediately preceding calendar year and (B) such smaller number of shares as is determined by our board of directors, provided that no more than shares of</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common stock may be issued under the Section 423 Component. Our board of directors or a committee of our board of directors will administer and will have authority to interpret the terms of the ESPP and determine eligibility of participants. We expect that the compensation committee will be the initial administrator of the ESPP (referred to as the plan administrator below).</w:t>
      </w:r>
    </w:p>
    <w:p>
      <w:pPr>
        <w:spacing w:after="0" w:line="19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expect that all of our employees will be eligible to participate in the ESPP. However, an employee may not be granted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stock under the ESPP if the employee, immediately after the grant, would own (directly or through attribution) stock possessing 5% or more of the total combined voting power or value of all classes of our stock.</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i w:val="1"/>
          <w:iCs w:val="1"/>
          <w:color w:val="auto"/>
        </w:rPr>
        <w:t xml:space="preserve">Grant of rights. </w:t>
      </w:r>
      <w:r>
        <w:rPr>
          <w:rFonts w:ascii="Arial" w:cs="Arial" w:eastAsia="Arial" w:hAnsi="Arial"/>
          <w:sz w:val="17"/>
          <w:szCs w:val="17"/>
          <w:color w:val="auto"/>
        </w:rPr>
        <w:t>Stock will be offered under the ESPP during offering periods. The length of the offering periods under the ESPP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Offering periods under the ESPP will commence when determined by the plan administrator. The plan 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177"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ESPP permits participants to purchase common stock through payroll deductions of up to a specified percentage of their eligible compensation. The plan administrator will establish a maximum number of shares that may be purchased by a participant during any offering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88"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On the first trading day of each offering period, each participant will automatically be granted an option to purchase shares of our common stock.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9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 participant may not transfer rights granted under the ESPP other than by will or the laws of descent and distribution, and such rights are generally exercisable only by the participant.</w:t>
      </w:r>
    </w:p>
    <w:p>
      <w:pPr>
        <w:spacing w:after="0" w:line="170"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i w:val="1"/>
          <w:iCs w:val="1"/>
          <w:color w:val="auto"/>
        </w:rPr>
        <w:t xml:space="preserve">Certain transactions. </w:t>
      </w:r>
      <w:r>
        <w:rPr>
          <w:rFonts w:ascii="Arial" w:cs="Arial" w:eastAsia="Arial" w:hAnsi="Arial"/>
          <w:sz w:val="17"/>
          <w:szCs w:val="17"/>
          <w:color w:val="auto"/>
        </w:rPr>
        <w:t>In the event of certain non-reciprocal transactions or events affecting our common stock, the plan administrator will</w:t>
      </w:r>
      <w:r>
        <w:rPr>
          <w:rFonts w:ascii="Arial" w:cs="Arial" w:eastAsia="Arial" w:hAnsi="Arial"/>
          <w:sz w:val="17"/>
          <w:szCs w:val="17"/>
          <w:i w:val="1"/>
          <w:iCs w:val="1"/>
          <w:color w:val="auto"/>
        </w:rPr>
        <w:t xml:space="preserve"> </w:t>
      </w:r>
      <w:r>
        <w:rPr>
          <w:rFonts w:ascii="Arial" w:cs="Arial" w:eastAsia="Arial" w:hAnsi="Arial"/>
          <w:sz w:val="17"/>
          <w:szCs w:val="17"/>
          <w:color w:val="auto"/>
        </w:rPr>
        <w:t>make equitable adjustments to the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77" w:lineRule="exact"/>
        <w:rPr>
          <w:sz w:val="20"/>
          <w:szCs w:val="20"/>
          <w:color w:val="auto"/>
        </w:rPr>
      </w:pPr>
    </w:p>
    <w:p>
      <w:pPr>
        <w:jc w:val="both"/>
        <w:ind w:left="120" w:right="220" w:firstLine="881"/>
        <w:spacing w:after="0" w:line="286" w:lineRule="auto"/>
        <w:rPr>
          <w:sz w:val="20"/>
          <w:szCs w:val="20"/>
          <w:color w:val="auto"/>
        </w:rPr>
      </w:pPr>
      <w:r>
        <w:rPr>
          <w:rFonts w:ascii="Arial" w:cs="Arial" w:eastAsia="Arial" w:hAnsi="Arial"/>
          <w:sz w:val="17"/>
          <w:szCs w:val="17"/>
          <w:i w:val="1"/>
          <w:iCs w:val="1"/>
          <w:color w:val="auto"/>
        </w:rPr>
        <w:t xml:space="preserve">Plan amendment. </w:t>
      </w:r>
      <w:r>
        <w:rPr>
          <w:rFonts w:ascii="Arial" w:cs="Arial" w:eastAsia="Arial" w:hAnsi="Arial"/>
          <w:sz w:val="17"/>
          <w:szCs w:val="17"/>
          <w:color w:val="auto"/>
        </w:rPr>
        <w:t>The plan administrator may amend, suspend or terminate the ESPP at any time. However, stockholder approval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obtained for any amendment that increases the aggregate number or changes the type of shares that may be sold pursuant to rights under the ESPP or changes the corporations or classes of corporations whose employees are eligible to participate in the ESPP.</w:t>
      </w:r>
    </w:p>
    <w:p>
      <w:pPr>
        <w:spacing w:after="0" w:line="16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i w:val="1"/>
          <w:iCs w:val="1"/>
          <w:color w:val="auto"/>
        </w:rPr>
        <w:t xml:space="preserve">Securities laws. </w:t>
      </w:r>
      <w:r>
        <w:rPr>
          <w:rFonts w:ascii="Arial" w:cs="Arial" w:eastAsia="Arial" w:hAnsi="Arial"/>
          <w:sz w:val="18"/>
          <w:szCs w:val="18"/>
          <w:color w:val="auto"/>
        </w:rPr>
        <w:t>The ESPP has been designed to comply with various securities laws in the same manner as described above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 of the 2021 Plan.</w:t>
      </w:r>
    </w:p>
    <w:p>
      <w:pPr>
        <w:spacing w:after="0" w:line="170" w:lineRule="exact"/>
        <w:rPr>
          <w:sz w:val="20"/>
          <w:szCs w:val="20"/>
          <w:color w:val="auto"/>
        </w:rPr>
      </w:pPr>
    </w:p>
    <w:p>
      <w:pPr>
        <w:ind w:left="120" w:right="420" w:firstLine="881"/>
        <w:spacing w:after="0" w:line="311" w:lineRule="auto"/>
        <w:rPr>
          <w:sz w:val="20"/>
          <w:szCs w:val="20"/>
          <w:color w:val="auto"/>
        </w:rPr>
      </w:pPr>
      <w:r>
        <w:rPr>
          <w:rFonts w:ascii="Arial" w:cs="Arial" w:eastAsia="Arial" w:hAnsi="Arial"/>
          <w:sz w:val="16"/>
          <w:szCs w:val="16"/>
          <w:i w:val="1"/>
          <w:iCs w:val="1"/>
          <w:color w:val="auto"/>
        </w:rPr>
        <w:t xml:space="preserve">Federal income taxes. </w:t>
      </w:r>
      <w:r>
        <w:rPr>
          <w:rFonts w:ascii="Arial" w:cs="Arial" w:eastAsia="Arial" w:hAnsi="Arial"/>
          <w:sz w:val="16"/>
          <w:szCs w:val="16"/>
          <w:color w:val="auto"/>
        </w:rPr>
        <w:t>The material U.S. federal income tax consequences of the ESPP under current U.S. federal income tax law are</w:t>
      </w:r>
      <w:r>
        <w:rPr>
          <w:rFonts w:ascii="Arial" w:cs="Arial" w:eastAsia="Arial" w:hAnsi="Arial"/>
          <w:sz w:val="16"/>
          <w:szCs w:val="16"/>
          <w:i w:val="1"/>
          <w:iCs w:val="1"/>
          <w:color w:val="auto"/>
        </w:rPr>
        <w:t xml:space="preserve"> </w:t>
      </w:r>
      <w:r>
        <w:rPr>
          <w:rFonts w:ascii="Arial" w:cs="Arial" w:eastAsia="Arial" w:hAnsi="Arial"/>
          <w:sz w:val="16"/>
          <w:szCs w:val="16"/>
          <w:color w:val="auto"/>
        </w:rPr>
        <w:t>summarized in the following discussion, which deals with the general U.S. federal income tax principles applicable to the ESPP. The following discussion is based upon U.S. laws, regulations, rulings and decisions now in effect, all of which are subject to change. Foreign, state and local tax</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laws and employment, estate and gift tax considerations are not discussed due to the fact that they may vary depending on individual circumstances and from locality to locality.</w:t>
      </w:r>
    </w:p>
    <w:p>
      <w:pPr>
        <w:spacing w:after="0" w:line="170"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The ESPP, and the right of participants to make purchases thereunder, is intended to qualify under the provisions of Section 423 of the Internal Revenue Code. Under the applicable Internal Revenue Code provisions, no income will be taxable to a participant until the sale or other disposition of the shares purchased under the ESPP. This means that an eligible employee will not recognize taxable income on the date the employee is granted an option under the ESPP (i.e., the first day of the offering period). In addition, the employee will not recognize taxable income upon the purchase of shares. Upon such sale or disposition, the participant will generally be subject to tax in an amount that depends upon the length of time such shares are held by the participant prior to disposing of them. If the shares are sold or disposed more than two years from the first day of the offering period during which the shares were purchased and more than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79"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we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we will be entitled to a corresponding deduction), but the participant generally will be able to report a capital loss equal to the difference between the sales price of the shares and the fair market value of the shares on the date of purchase.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We did not provide any cash, equity or other compensation to our non-employee directors in the year ended December 31, 2020 with the exception of our independent board members. We do have a policy of reimbursing all of our non-employee directors for their reasonable out-of-pocket expenses in connection with attending board of directors and committee meetings.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Shares of</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All Other</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200" w:type="dxa"/>
            <w:vAlign w:val="bottom"/>
            <w:vMerge w:val="restart"/>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rPr>
              <w:t>($) (1)(4)</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Vested</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Vested (6)</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Isan Chen, M.D.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54,821</w:t>
            </w:r>
            <w:r>
              <w:rPr>
                <w:rFonts w:ascii="Arial" w:cs="Arial" w:eastAsia="Arial" w:hAnsi="Arial"/>
                <w:sz w:val="15"/>
                <w:szCs w:val="15"/>
                <w:color w:val="auto"/>
              </w:rPr>
              <w:t>(2)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77,256</w:t>
            </w:r>
            <w:r>
              <w:rPr>
                <w:rFonts w:ascii="Arial" w:cs="Arial" w:eastAsia="Arial" w:hAnsi="Arial"/>
                <w:sz w:val="15"/>
                <w:szCs w:val="15"/>
                <w:color w:val="auto"/>
              </w:rPr>
              <w:t>(5)</w:t>
            </w: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44,436</w:t>
            </w:r>
            <w:r>
              <w:rPr>
                <w:rFonts w:ascii="Arial" w:cs="Arial" w:eastAsia="Arial" w:hAnsi="Arial"/>
                <w:sz w:val="15"/>
                <w:szCs w:val="15"/>
                <w:color w:val="auto"/>
              </w:rPr>
              <w:t>(2)</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$ 70,209</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Gilla Kaplan, Ph.D.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29,160</w:t>
            </w:r>
            <w:r>
              <w:rPr>
                <w:rFonts w:ascii="Arial" w:cs="Arial" w:eastAsia="Arial" w:hAnsi="Arial"/>
                <w:sz w:val="15"/>
                <w:szCs w:val="15"/>
                <w:color w:val="auto"/>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23,636</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jc w:val="both"/>
        <w:ind w:left="540" w:right="260" w:hanging="424"/>
        <w:spacing w:after="0" w:line="279"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 date fair value of the stock options awarded to the non-employee director during fiscal year 2020, calculated in accordance with FASB ASC Topic 718. Such grant date fair value does not take into account any estimated forfeitures. The assumptions used in calculating the grant date fair value of the awards reported in this column are set forth in Note 7 to our financial statements included elsewhere in this prospectus. The amounts reported in this column reflect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77" w:lineRule="auto"/>
        <w:rPr>
          <w:sz w:val="20"/>
          <w:szCs w:val="20"/>
          <w:color w:val="auto"/>
        </w:rPr>
      </w:pPr>
      <w:r>
        <w:rPr>
          <w:rFonts w:ascii="Arial" w:cs="Arial" w:eastAsia="Arial" w:hAnsi="Arial"/>
          <w:sz w:val="18"/>
          <w:szCs w:val="18"/>
          <w:color w:val="auto"/>
        </w:rPr>
        <w:t>accounting cost for the stock options and do not reflect the actual economic value that will be realized upon the vesting of the stock options, the exercise of the stock options or the sale of the common stock underlying such awards.</w:t>
      </w:r>
    </w:p>
    <w:p>
      <w:pPr>
        <w:spacing w:after="0" w:line="76" w:lineRule="exact"/>
        <w:rPr>
          <w:sz w:val="20"/>
          <w:szCs w:val="20"/>
          <w:color w:val="auto"/>
        </w:rPr>
      </w:pPr>
    </w:p>
    <w:p>
      <w:pPr>
        <w:ind w:left="540" w:right="80" w:hanging="424"/>
        <w:spacing w:after="0" w:line="288"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Dr. Chen was granted on option on January 27, 2020 to purchase 44,436 shares, 11,100 of which vest on the first anniversary of the date of grant, 925 vest monthly thereafter over 35 months with 961 shares vesting in the 36th month, subject to Dr. Chen’s continued service. 23,636 of the shares subject to the option are compensation for Dr. Chen’s service as a non-employee director and 20,800 of the shares subject to the option are compensation for Dr. Chen’s consulting services as Chief Medical Advisor. Number of shares of stock that have not vested represent restricted shares acquired pursuant to Dr. Chen’s exercise of the option granted on January 27, 2020 for 44,436 shares with an exercise price of $1.58 per share. 11,100 of the shares vested on January 27, 2021, 925 vest monthly thereafter over 35 months with 961 shares vesting in the 36th month, subject to Dr. Chen’s continued service. 23,636 of the shares subject to the option are compensation for Dr. Chen’s service as a non-employee director and 20,800 of the shares subject to the option are compensation for Dr. Chen’s consulting services as Chief Medical Advisor. Our 2020 Plan specifically authorizes this early exercise concept and states that employees who exercise unvested options will receive shares of restricted stock with a vesting period that corresponds to the vesting period that remained in the exercised option.</w:t>
      </w:r>
    </w:p>
    <w:p>
      <w:pPr>
        <w:spacing w:after="0" w:line="73" w:lineRule="exact"/>
        <w:rPr>
          <w:rFonts w:ascii="Arial" w:cs="Arial" w:eastAsia="Arial" w:hAnsi="Arial"/>
          <w:sz w:val="16"/>
          <w:szCs w:val="16"/>
          <w:color w:val="auto"/>
        </w:rPr>
      </w:pPr>
    </w:p>
    <w:p>
      <w:pPr>
        <w:ind w:left="540" w:right="40" w:hanging="424"/>
        <w:spacing w:after="0" w:line="259"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Dr. Kaplan was granted an option on January 27, 2020 to purchase 23,636 shares, 5,904 of which vest on the first anniversary of the date of grant, 492 vest monthly thereafter over 35 months with 512 shares vesting in the 36th month, subject to Dr. Kaplan’s continued service. Subsequently Dr. Kaplan’s options were amended to allow Dr. Kaplan to exercise the options at any time, subject to our right to repurchase any shares issued upon exercise in the event that Dr. Kaplan failed to continue service with our company.</w:t>
      </w:r>
    </w:p>
    <w:p>
      <w:pPr>
        <w:spacing w:after="0" w:line="92"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of December 31, 2020, Dr. Kaplan held options to purchase 23,636 of our common stock and was the only non-employee member of our board of directors that held unexercised options as of that date.</w:t>
      </w:r>
    </w:p>
    <w:p>
      <w:pPr>
        <w:spacing w:after="0" w:line="75" w:lineRule="exact"/>
        <w:rPr>
          <w:rFonts w:ascii="Arial" w:cs="Arial" w:eastAsia="Arial" w:hAnsi="Arial"/>
          <w:sz w:val="18"/>
          <w:szCs w:val="18"/>
          <w:color w:val="auto"/>
        </w:rPr>
      </w:pPr>
    </w:p>
    <w:p>
      <w:pPr>
        <w:ind w:left="540" w:right="20" w:hanging="424"/>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fees of $6,438 per month as compensation for consulting services as Chief Medical Advisor pursuant to a consulting agreement entered into by Dr. Chen and us as of January 1, 2020. The agreement has an initial term of one year and automatically terminated as of January 1, 2021 pursuant to its terms.</w:t>
      </w:r>
    </w:p>
    <w:p>
      <w:pPr>
        <w:spacing w:after="0" w:line="89"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amount reflects the fair market value of our common stock of $1.58 per share as of December 31, 2020 (the determination of the fair market value by our board of directors as of the most proximate date prior to then) multiplied by the amount shown in the column for the number of shares that have not vested.</w:t>
      </w:r>
    </w:p>
    <w:p>
      <w:pPr>
        <w:spacing w:after="0" w:line="184" w:lineRule="exact"/>
        <w:rPr>
          <w:sz w:val="20"/>
          <w:szCs w:val="20"/>
          <w:color w:val="auto"/>
        </w:rPr>
      </w:pPr>
    </w:p>
    <w:p>
      <w:pPr>
        <w:ind w:left="120" w:right="40" w:firstLine="881"/>
        <w:spacing w:after="0" w:line="342" w:lineRule="auto"/>
        <w:rPr>
          <w:sz w:val="20"/>
          <w:szCs w:val="20"/>
          <w:color w:val="auto"/>
        </w:rPr>
      </w:pPr>
      <w:r>
        <w:rPr>
          <w:rFonts w:ascii="Arial" w:cs="Arial" w:eastAsia="Arial" w:hAnsi="Arial"/>
          <w:sz w:val="16"/>
          <w:szCs w:val="16"/>
          <w:color w:val="auto"/>
        </w:rPr>
        <w:t>In connection with this offering, we intend to adopt and ask our stockholders to approve the initial terms of our non-employee director compensation program. The material terms of the non-employee director compensation program, as it is currently contemplated, are summarized below.</w:t>
      </w:r>
    </w:p>
    <w:p>
      <w:pPr>
        <w:spacing w:after="0" w:line="124" w:lineRule="exact"/>
        <w:rPr>
          <w:sz w:val="20"/>
          <w:szCs w:val="20"/>
          <w:color w:val="auto"/>
        </w:rPr>
      </w:pPr>
    </w:p>
    <w:p>
      <w:pPr>
        <w:ind w:left="120" w:right="60" w:firstLine="881"/>
        <w:spacing w:after="0" w:line="285" w:lineRule="auto"/>
        <w:rPr>
          <w:sz w:val="20"/>
          <w:szCs w:val="20"/>
          <w:color w:val="auto"/>
        </w:rPr>
      </w:pPr>
      <w:r>
        <w:rPr>
          <w:rFonts w:ascii="Arial" w:cs="Arial" w:eastAsia="Arial" w:hAnsi="Arial"/>
          <w:sz w:val="16"/>
          <w:szCs w:val="16"/>
          <w:color w:val="auto"/>
        </w:rPr>
        <w:t>The non-employee director compensation policy will provide for annual retainer fees and/or long-term equity awards for our non-employee directors. We expect each non-employee director will receive an annual retainer of $ . Non-employee directors serving as the chairs of the audit, compensation and nominating and corporate governance committees will receive additional annual retainers of $ , $ , and $ , respectively. The non-employee directors serving as members of the audit, compensation and nominating and corporate governance committees will receive additional annual retainers of $ , $ , and $ , respectively. The non-employee directors will also receive initial grants of options to purchase</w:t>
      </w:r>
    </w:p>
    <w:p>
      <w:pPr>
        <w:spacing w:after="0" w:line="2" w:lineRule="exact"/>
        <w:rPr>
          <w:sz w:val="20"/>
          <w:szCs w:val="20"/>
          <w:color w:val="auto"/>
        </w:rPr>
      </w:pPr>
    </w:p>
    <w:p>
      <w:pPr>
        <w:ind w:left="700"/>
        <w:spacing w:after="0" w:line="281" w:lineRule="auto"/>
        <w:rPr>
          <w:sz w:val="20"/>
          <w:szCs w:val="20"/>
          <w:color w:val="auto"/>
        </w:rPr>
      </w:pPr>
      <w:r>
        <w:rPr>
          <w:rFonts w:ascii="Arial" w:cs="Arial" w:eastAsia="Arial" w:hAnsi="Arial"/>
          <w:sz w:val="16"/>
          <w:szCs w:val="16"/>
          <w:color w:val="auto"/>
        </w:rPr>
        <w:t>shares of our common stock, vesting over three years, upon election to the board of directors, and thereafter annual grants of options to purchase shares of our common stock, vesting on the first to occur of (i) the first anniversary of the grant date or (ii) the next occurring annual meeting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stockholders.</w:t>
      </w:r>
    </w:p>
    <w:p>
      <w:pPr>
        <w:spacing w:after="0" w:line="211"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Compensation under our non-employee director compensation policy will be subject to the annual limits on non-employee director compensation set forth in the 2021 Plan, as described above. Our board of directors or its authorized committee may modify the non-employee director compensation program from time to time in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exercise of its business judgment, taking into account such factors, circumstances and considerations as it shall deem relevant from time to time, subject to the annual limit on non-employee director compensation set forth in the 2021 Plan (which limits will not apply to any non-employee director that serves in any additional capacity with the company for which he or she receives compensation or any compensation paid to any non-employee director prior to the calendar year following the calendar year in which this offering occurs). As provided in the 2021 Plan, our board of directors or its authorized committee may make exceptions to this limit for individual non-employee directors in extraordinary circumstances, as the board of directors or its authorized committee may determine in its discretion, provided that the non-employee director receiving such additional compensation may not participate in the decision to award such compensation or in other compensation decisions involving non-employee directors.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29"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92" w:lineRule="exact"/>
        <w:rPr>
          <w:sz w:val="20"/>
          <w:szCs w:val="20"/>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181"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 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00"/>
          </w:cols>
          <w:pgMar w:left="320" w:top="459" w:right="6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320" w:firstLine="881"/>
        <w:spacing w:after="0" w:line="273" w:lineRule="auto"/>
        <w:rPr>
          <w:sz w:val="20"/>
          <w:szCs w:val="20"/>
          <w:color w:val="auto"/>
        </w:rPr>
      </w:pPr>
      <w:r>
        <w:rPr>
          <w:rFonts w:ascii="Arial" w:cs="Arial" w:eastAsia="Arial" w:hAnsi="Arial"/>
          <w:sz w:val="17"/>
          <w:szCs w:val="17"/>
          <w:color w:val="auto"/>
        </w:rPr>
        <w:t>The following includes a summary of transactions since January 1, 2018 to which we have been a party in which the amount involved exceeded or will exceed the lessor of (i) $120,000 or (ii) 1% of the average of our total assets at fiscal year-end for our last two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Simple Agreements for Future Equity</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Between October 2018 and March 2019, we entered into various SAFEs with certain investors pursuant to which we received $3.2 million in exchange for our agreement to issue the investors shares of our convertible preferred stock upon the occurrence of subsequent financings of our convertible preferred stock. Dr. Harris and members of his immediate family collectively purchased $500,450 of SAFEs in the aggregate, which converted into 81,903 shares of our Series A Preferred Stock. Mr. Bensen and a member of his immediate family collectively purchased $120,000 of SAFEs in the aggregate, which converted into 19,639 shares of our Series A Preferred Stock. Dr. Chen purchased $100,000 of SAFEs, which converted into 16,366 shares of our Series A Preferred Stock</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Convertible Preferred Stock Financing</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January 2020, we sold an aggregate of 2,848,486 shares of our Series A convertible preferred stock at a purchase price of $8.25 per share pursuant to agreements entered into with investors. In February 2021, we sold an aggregate of 2,848,486 additional shares of our Series A convertible preferred stock at a purchase price of $8.25 per share pursuant to agreements entered into with investors. Each share of our Series A convertible preferred stock will automatically convert into one share of our common stock immediately prior to the completion of this offering. All purchasers of our Series A convertible preferred stock are entitled to specified registration rights. See the section titled “Description of Capital Stock—Registration Rights” for more information regarding these registration rights.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purchases of our Series A convertible preferred stock by related persons: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Participant</w:t>
            </w:r>
          </w:p>
        </w:tc>
        <w:tc>
          <w:tcPr>
            <w:tcW w:w="2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of Series A</w:t>
            </w:r>
          </w:p>
        </w:tc>
        <w:tc>
          <w:tcPr>
            <w:tcW w:w="2280" w:type="dxa"/>
            <w:vAlign w:val="bottom"/>
            <w:gridSpan w:val="4"/>
            <w:vMerge w:val="restart"/>
          </w:tcPr>
          <w:p>
            <w:pPr>
              <w:ind w:left="940"/>
              <w:spacing w:after="0"/>
              <w:rPr>
                <w:sz w:val="20"/>
                <w:szCs w:val="20"/>
                <w:color w:val="auto"/>
              </w:rPr>
            </w:pPr>
            <w:r>
              <w:rPr>
                <w:rFonts w:ascii="Arial" w:cs="Arial" w:eastAsia="Arial" w:hAnsi="Arial"/>
                <w:sz w:val="14"/>
                <w:szCs w:val="14"/>
                <w:b w:val="1"/>
                <w:bCs w:val="1"/>
                <w:color w:val="auto"/>
                <w:w w:val="95"/>
              </w:rPr>
              <w:t>Total Purchase Price</w:t>
            </w:r>
          </w:p>
        </w:tc>
        <w:tc>
          <w:tcPr>
            <w:tcW w:w="0" w:type="dxa"/>
            <w:vAlign w:val="bottom"/>
          </w:tcPr>
          <w:p>
            <w:pPr>
              <w:spacing w:after="0"/>
              <w:rPr>
                <w:sz w:val="1"/>
                <w:szCs w:val="1"/>
                <w:color w:val="auto"/>
              </w:rPr>
            </w:pPr>
          </w:p>
        </w:tc>
      </w:tr>
      <w:tr>
        <w:trPr>
          <w:trHeight w:val="171"/>
        </w:trPr>
        <w:tc>
          <w:tcPr>
            <w:tcW w:w="4440" w:type="dxa"/>
            <w:vAlign w:val="bottom"/>
            <w:gridSpan w:val="3"/>
            <w:vMerge w:val="continue"/>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7"/>
              </w:rPr>
              <w:t>Preferred Stock</w:t>
            </w:r>
          </w:p>
        </w:tc>
        <w:tc>
          <w:tcPr>
            <w:tcW w:w="2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Partners NextGen Fund II, L.P. (1)</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1,212,122</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RA Capital Healthcare Fund, L.P. (2)</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1,011,370</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8,343,803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Blackwell Partners LLC—Series A (2)</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170,448</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RA Capital Nexus Fund, L.P. (2)</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393,940</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3,250,005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Boxer Capital, LLC (3)</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1,480,242</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MVA Investors, LLC (3)</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95,516</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788,007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Canaan XI L.P. (4)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1,333,334</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85725</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420" w:hanging="427"/>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Alta Partners NextGen Fund II, L.P., is an affiliate of Alta Partners, and is a holder of 5% or more of our capital stock. Robert More is a Managing Director at Alta Partners and a member of our board of directors.</w:t>
      </w:r>
    </w:p>
    <w:p>
      <w:pPr>
        <w:spacing w:after="0" w:line="75" w:lineRule="exact"/>
        <w:rPr>
          <w:rFonts w:ascii="Arial" w:cs="Arial" w:eastAsia="Arial" w:hAnsi="Arial"/>
          <w:sz w:val="18"/>
          <w:szCs w:val="18"/>
          <w:color w:val="auto"/>
        </w:rPr>
      </w:pPr>
    </w:p>
    <w:p>
      <w:pPr>
        <w:ind w:left="1420" w:right="140" w:hanging="427"/>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RA Capital Healthcare Fund, L.P., Blackwell Partners LLC – Series A and RA Capital Nexus Fund, L.P. are affiliates of RA Capital Management, L.P., or RA Capital, and RA Capital is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60"/>
          </w:cols>
          <w:pgMar w:left="320" w:top="459" w:right="5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holder of 5% or more of our capital stock. Jake Simson, Ph.D. is a Partner at RA Capital and a member of our board of directors.</w:t>
      </w:r>
    </w:p>
    <w:p>
      <w:pPr>
        <w:spacing w:after="0" w:line="142" w:lineRule="exact"/>
        <w:rPr>
          <w:sz w:val="20"/>
          <w:szCs w:val="20"/>
          <w:color w:val="auto"/>
        </w:rPr>
      </w:pPr>
    </w:p>
    <w:p>
      <w:pPr>
        <w:ind w:left="1420" w:right="160" w:hanging="427"/>
        <w:spacing w:after="0" w:line="342" w:lineRule="auto"/>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MVA Investors, LLC is affiliated with Boxer Capital, LLC. Boxer Capital, LLC and MVA Investors, LLC together hold 5% or more of our capital stock. Siddarth Subramony, Ph.D. is a Vice President of Boxer Capital, LLC and a member of our board of directors.</w:t>
      </w:r>
    </w:p>
    <w:p>
      <w:pPr>
        <w:spacing w:after="0" w:line="29" w:lineRule="exact"/>
        <w:rPr>
          <w:rFonts w:ascii="Arial" w:cs="Arial" w:eastAsia="Arial" w:hAnsi="Arial"/>
          <w:sz w:val="16"/>
          <w:szCs w:val="16"/>
          <w:color w:val="auto"/>
        </w:rPr>
      </w:pPr>
    </w:p>
    <w:p>
      <w:pPr>
        <w:ind w:left="1420" w:right="40" w:hanging="427"/>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Canaan XI L.P. is a holder of 5% or more of our capital stock. Nina Kjellson is a General Partner of Canaan Partners and a member of our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March 2021, we sold an aggregate of 3,874,793 shares of our Series B convertible preferred stock at a purchase price of $27.4337 per share pursuant to agreements entered into with investors. Each share of our Series B convertible preferred stock will automatically convert into one share of our common stock immediately prior to the completion of this offering. All purchasers of our Series B convertible preferred stock are entitled to specified registration rights. See the section titled “Description of Capital Stock—Registration Rights” for more information regarding these registration rights.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purchases of our Series B convertible preferred stock by related persons: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Participant</w:t>
            </w: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of Series B</w:t>
            </w:r>
          </w:p>
        </w:tc>
        <w:tc>
          <w:tcPr>
            <w:tcW w:w="2240" w:type="dxa"/>
            <w:vAlign w:val="bottom"/>
            <w:gridSpan w:val="4"/>
            <w:vMerge w:val="restart"/>
          </w:tcPr>
          <w:p>
            <w:pPr>
              <w:ind w:left="900"/>
              <w:spacing w:after="0"/>
              <w:rPr>
                <w:sz w:val="20"/>
                <w:szCs w:val="20"/>
                <w:color w:val="auto"/>
              </w:rPr>
            </w:pPr>
            <w:r>
              <w:rPr>
                <w:rFonts w:ascii="Arial" w:cs="Arial" w:eastAsia="Arial" w:hAnsi="Arial"/>
                <w:sz w:val="14"/>
                <w:szCs w:val="14"/>
                <w:b w:val="1"/>
                <w:bCs w:val="1"/>
                <w:color w:val="auto"/>
                <w:w w:val="95"/>
              </w:rPr>
              <w:t>Total Purchase Price</w:t>
            </w: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w w:val="97"/>
              </w:rPr>
              <w:t>Preferred Stock</w:t>
            </w:r>
          </w:p>
        </w:tc>
        <w:tc>
          <w:tcPr>
            <w:tcW w:w="2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Partners NextGen Fund II, L.P. (1)</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255,160</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RA Capital Healthcare Fund, L.P. (2)</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546,773</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 Capital Nexus Fund, L.P. (2)</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182,257</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Boxer Capital, LLC (3)</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713,629</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19,577,484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MVA Investors, LLC (3)</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15,401</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Canaan XI L.P. (4)</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364,515</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9,999,995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Nextech VI Oncology SCSP (5)</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729,030</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Isan Chen, M.D.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7,290</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76835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420" w:right="20" w:hanging="427"/>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Alta Partners NextGen Fund II, L.P. is an affiliate of Alta Partners and is a holder of 5% or more of our capital stock. Robert More is a Managing Director at Alta Partners and a member of our board of directors.</w:t>
      </w:r>
    </w:p>
    <w:p>
      <w:pPr>
        <w:spacing w:after="0" w:line="75" w:lineRule="exact"/>
        <w:rPr>
          <w:rFonts w:ascii="Arial" w:cs="Arial" w:eastAsia="Arial" w:hAnsi="Arial"/>
          <w:sz w:val="18"/>
          <w:szCs w:val="18"/>
          <w:color w:val="auto"/>
        </w:rPr>
      </w:pPr>
    </w:p>
    <w:p>
      <w:pPr>
        <w:ind w:left="1420" w:right="340" w:hanging="427"/>
        <w:spacing w:after="0" w:line="308" w:lineRule="auto"/>
        <w:tabs>
          <w:tab w:leader="none" w:pos="14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RA Capital Healthcare Fund, L.P. and RA Capital Nexus Fund, L.P. are affiliates RA Capital, and RA Capital is a holder of 5% or more of our capital stock. Jake Simson, Ph.D. is a Partner at RA Capital and a member of our board of directors.</w:t>
      </w:r>
    </w:p>
    <w:p>
      <w:pPr>
        <w:spacing w:after="0" w:line="51" w:lineRule="exact"/>
        <w:rPr>
          <w:rFonts w:ascii="Arial" w:cs="Arial" w:eastAsia="Arial" w:hAnsi="Arial"/>
          <w:sz w:val="17"/>
          <w:szCs w:val="17"/>
          <w:color w:val="auto"/>
        </w:rPr>
      </w:pPr>
    </w:p>
    <w:p>
      <w:pPr>
        <w:ind w:left="1420" w:right="160" w:hanging="427"/>
        <w:spacing w:after="0" w:line="342" w:lineRule="auto"/>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MVA Investors, LLC is affiliated with Boxer Capital, LLC. Boxer Capital, LLC and MVA Investors, LLC together hold 5% or more of our capital stock. Siddarth Subramony, Ph.D. is a Vice President of Boxer Capital, LLC and a member of our board of directors.</w:t>
      </w:r>
    </w:p>
    <w:p>
      <w:pPr>
        <w:spacing w:after="0" w:line="29" w:lineRule="exact"/>
        <w:rPr>
          <w:rFonts w:ascii="Arial" w:cs="Arial" w:eastAsia="Arial" w:hAnsi="Arial"/>
          <w:sz w:val="16"/>
          <w:szCs w:val="16"/>
          <w:color w:val="auto"/>
        </w:rPr>
      </w:pPr>
    </w:p>
    <w:p>
      <w:pPr>
        <w:ind w:left="1420" w:right="40" w:hanging="427"/>
        <w:spacing w:after="0" w:line="259"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Canaan XI L.P. and Canaan 2020+ Co-Investment LP together hold 5% or more of our capital stock. Nina Kjellson is a manager of Canaan Partners XI LLC, the general partner of Canaan XI LP and the sole member of the applicable series investment committee of Canaan Partners 2020+ Co-Investment LLC, the general partner of Canaan 2020+ Co-Investment LP, and is a member of our board of directors.</w:t>
      </w:r>
    </w:p>
    <w:p>
      <w:pPr>
        <w:spacing w:after="0" w:line="92" w:lineRule="exact"/>
        <w:rPr>
          <w:rFonts w:ascii="Arial" w:cs="Arial" w:eastAsia="Arial" w:hAnsi="Arial"/>
          <w:sz w:val="18"/>
          <w:szCs w:val="18"/>
          <w:color w:val="auto"/>
        </w:rPr>
      </w:pPr>
    </w:p>
    <w:p>
      <w:pPr>
        <w:ind w:left="1420" w:right="720" w:hanging="427"/>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Nextech VI Oncology SCSP is an affiliate of Nextech Invest Ltd. and is a holder of 5% or more of our capital stock. Melissa McCracken, Ph.D. is a Principal at Nextech Invest Ltd. and a member of our board of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Agreements</w:t>
      </w:r>
    </w:p>
    <w:p>
      <w:pPr>
        <w:spacing w:after="0" w:line="229"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In connection with our Series B financing described above, we entered into an amended and restated investors’ rights agreement, amended and restated voting agreement and amended and restated right of first refusal and co-sale agreement, which contain registration rights, information rights, voting rights, and rights of first refusal and co-sale, among other things, with certain of our stockholders. Pursuant to our voting agreement, certain of our stockholders have the right to designate member(s) to be elected to our board of directors. See the section titled “Management—Family Relationships and Other Arrangements.” The foregoing agreements will terminate upon the completion of this offering, except for the registration rights set forth in the amended and restated investors’ rights agreement, as more fully described below in “Description of Capital Stock—Registration Rights.”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We have entered into employment agreements with our named executive officers. For more information regarding the agreements with our named executive officers, see “Executive and Director Compensation— Employment Arrangements with our Named Executive Officers.”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Agreement with van den Boom &amp; Associates, LLC</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On December 23, 2018, we entered into a consulting agreement with van den Boom &amp; Associates, LLC, or van den Boom &amp; Associates, to provide (i) a resource to assist with finance department and administrative oversight, or Oversight Resources, and (ii) resources to assist with day-to-day accounting functions, or Accounting Resources. Services provided under the agreement with van den Boom &amp; Associates are billed at hourly rates. In April 2021, Ms. van den Boom, the owner of van den Boom &amp; Associates, signed an employment agreement with our company whereby she became our Chief Financial Officer. Following the date of her employment agreement, we anticipate that Oversight Resources previously provided under the consulting agreement will be provided to us pursuant to Ms. van den Boom’s employment agreement and that payments for Accounting Resources under the consulting agreement during the year ending December 31, 2021 will exceed the lesser of $120,000 and 1% of the average of our company’s total assets at the end of the last two fiscal years.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 Granted to Executive Officers and Directors</w:t>
      </w:r>
    </w:p>
    <w:p>
      <w:pPr>
        <w:spacing w:after="0" w:line="229" w:lineRule="exact"/>
        <w:rPr>
          <w:sz w:val="20"/>
          <w:szCs w:val="20"/>
          <w:color w:val="auto"/>
        </w:rPr>
      </w:pPr>
    </w:p>
    <w:p>
      <w:pPr>
        <w:ind w:left="120" w:right="1140" w:firstLine="881"/>
        <w:spacing w:after="0" w:line="277" w:lineRule="auto"/>
        <w:rPr>
          <w:sz w:val="20"/>
          <w:szCs w:val="20"/>
          <w:color w:val="auto"/>
        </w:rPr>
      </w:pPr>
      <w:r>
        <w:rPr>
          <w:rFonts w:ascii="Arial" w:cs="Arial" w:eastAsia="Arial" w:hAnsi="Arial"/>
          <w:sz w:val="18"/>
          <w:szCs w:val="18"/>
          <w:color w:val="auto"/>
        </w:rPr>
        <w:t>We have granted stock options to our executive officers, as more fully described in the section titled “Executive and Director Compensation.”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Officer Indemnification</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8" w:lineRule="exact"/>
        <w:rPr>
          <w:sz w:val="20"/>
          <w:szCs w:val="20"/>
          <w:color w:val="auto"/>
        </w:rPr>
      </w:pPr>
    </w:p>
    <w:p>
      <w:pPr>
        <w:ind w:left="120" w:right="280" w:firstLine="881"/>
        <w:spacing w:after="0" w:line="301"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“Executive and Director Compensation—Limitations of Liability and Indemnification Matters.”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board of directors will adopt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March 31, 2021, as adjusted to reflect the sale of common stock offered by us in this offering, for:</w:t>
      </w:r>
    </w:p>
    <w:p>
      <w:pPr>
        <w:spacing w:after="0" w:line="197" w:lineRule="exact"/>
        <w:rPr>
          <w:sz w:val="20"/>
          <w:szCs w:val="20"/>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capital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8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Each individual or entity shown on the table has furnished information with respect to beneficial ownership. Unless otherwise indicated, the address for each beneficial owner is c/o Tyra Biosciences, Inc., 2333 State Street, Suite 201, Carlsbad, CA 92008.</w:t>
      </w:r>
    </w:p>
    <w:p>
      <w:pPr>
        <w:spacing w:after="0" w:line="170"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The percentage of beneficial ownership prior to this offering in the table below is based on 11,608,131 shares of common stock deemed to be outstanding as of March 31, 2021, assuming the automatic conversion of all outstanding shares of our Series A convertible preferred stock and Series B convertible preferred stock immediately prior to the completion of this offering into 10,097,839 shares of our common stock, and the percentage of</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beneficial ownership after this offering in the table below is based on shares of common stock assumed to be outstanding after the completion of the offering, assuming no exercise by the underwriters of their option to purchase additional shares. Outstanding shares as March 31, 2021 include 661,332 shares of unvested restricted common stock. These unvested restricted shares have the same voting rights as unrestricted shares of our common stock and, therefore, have been included for the purposes of calculating beneficial ownership below.</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See Note 2 and Note 7 to our audited and unaudited financial statements included elsewhere in this prospectus for a discussion of our outstanding restricted common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5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8"/>
              </w:rPr>
              <w:t>Shares Beneficially Owned</w:t>
            </w:r>
          </w:p>
        </w:tc>
        <w:tc>
          <w:tcPr>
            <w:tcW w:w="212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780" w:type="dxa"/>
            <w:vAlign w:val="bottom"/>
            <w:vMerge w:val="restart"/>
          </w:tcPr>
          <w:p>
            <w:pPr>
              <w:spacing w:after="0"/>
              <w:rPr>
                <w:sz w:val="14"/>
                <w:szCs w:val="14"/>
                <w:color w:val="auto"/>
              </w:rPr>
            </w:pPr>
          </w:p>
        </w:tc>
        <w:tc>
          <w:tcPr>
            <w:tcW w:w="25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Prior to this Offering</w:t>
            </w: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120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Shares</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Percentage</w:t>
            </w:r>
          </w:p>
        </w:tc>
        <w:tc>
          <w:tcPr>
            <w:tcW w:w="580" w:type="dxa"/>
            <w:vAlign w:val="bottom"/>
          </w:tcPr>
          <w:p>
            <w:pPr>
              <w:spacing w:after="0"/>
              <w:rPr>
                <w:sz w:val="12"/>
                <w:szCs w:val="12"/>
                <w:color w:val="auto"/>
              </w:rPr>
            </w:pPr>
          </w:p>
        </w:tc>
        <w:tc>
          <w:tcPr>
            <w:tcW w:w="11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and Greater Stockholders</w:t>
            </w: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Alta Partners NextGen Fund II, L.P.</w:t>
            </w:r>
            <w:r>
              <w:rPr>
                <w:rFonts w:ascii="Arial" w:cs="Arial" w:eastAsia="Arial" w:hAnsi="Arial"/>
                <w:sz w:val="15"/>
                <w:szCs w:val="15"/>
                <w:color w:val="auto"/>
              </w:rPr>
              <w:t>(1)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1,510,760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RA Capital Healthcare Fund</w:t>
            </w:r>
            <w:r>
              <w:rPr>
                <w:rFonts w:ascii="Arial" w:cs="Arial" w:eastAsia="Arial" w:hAnsi="Arial"/>
                <w:sz w:val="15"/>
                <w:szCs w:val="15"/>
                <w:color w:val="auto"/>
              </w:rPr>
              <w:t>(2)</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2,304,788</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Entities affiliated with Boxer Capital LLC</w:t>
            </w:r>
            <w:r>
              <w:rPr>
                <w:rFonts w:ascii="Arial" w:cs="Arial" w:eastAsia="Arial" w:hAnsi="Arial"/>
                <w:sz w:val="15"/>
                <w:szCs w:val="15"/>
                <w:color w:val="auto"/>
              </w:rPr>
              <w:t>(3)</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2,304,788</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19.9%</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Canaan XI L.P.</w:t>
            </w:r>
            <w:r>
              <w:rPr>
                <w:rFonts w:ascii="Arial" w:cs="Arial" w:eastAsia="Arial" w:hAnsi="Arial"/>
                <w:sz w:val="15"/>
                <w:szCs w:val="15"/>
                <w:color w:val="auto"/>
              </w:rPr>
              <w:t>(4)</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1,697,849</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Nextech VI Oncology SCSP</w:t>
            </w:r>
            <w:r>
              <w:rPr>
                <w:rFonts w:ascii="Arial" w:cs="Arial" w:eastAsia="Arial" w:hAnsi="Arial"/>
                <w:sz w:val="15"/>
                <w:szCs w:val="15"/>
                <w:color w:val="auto"/>
              </w:rPr>
              <w:t>(5)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729,030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Todd Harris, Ph.D.</w:t>
            </w:r>
            <w:r>
              <w:rPr>
                <w:rFonts w:ascii="Arial" w:cs="Arial" w:eastAsia="Arial" w:hAnsi="Arial"/>
                <w:sz w:val="15"/>
                <w:szCs w:val="15"/>
                <w:color w:val="auto"/>
              </w:rPr>
              <w:t>(6)</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822,833</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Bensen</w:t>
            </w:r>
            <w:r>
              <w:rPr>
                <w:rFonts w:ascii="Arial" w:cs="Arial" w:eastAsia="Arial" w:hAnsi="Arial"/>
                <w:sz w:val="15"/>
                <w:szCs w:val="15"/>
                <w:color w:val="auto"/>
              </w:rPr>
              <w:t>(7)</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309,437</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Ron Swanson, Ph.D.</w:t>
            </w:r>
            <w:r>
              <w:rPr>
                <w:rFonts w:ascii="Arial" w:cs="Arial" w:eastAsia="Arial" w:hAnsi="Arial"/>
                <w:sz w:val="15"/>
                <w:szCs w:val="15"/>
                <w:color w:val="auto"/>
              </w:rPr>
              <w:t>(8)</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106,164</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Isan Chen, M.D.</w:t>
            </w:r>
            <w:r>
              <w:rPr>
                <w:rFonts w:ascii="Arial" w:cs="Arial" w:eastAsia="Arial" w:hAnsi="Arial"/>
                <w:sz w:val="15"/>
                <w:szCs w:val="15"/>
                <w:color w:val="auto"/>
              </w:rPr>
              <w:t>(9)</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90,913</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Gilla Kaplan, Ph.D.</w:t>
            </w:r>
            <w:r>
              <w:rPr>
                <w:rFonts w:ascii="Arial" w:cs="Arial" w:eastAsia="Arial" w:hAnsi="Arial"/>
                <w:sz w:val="15"/>
                <w:szCs w:val="15"/>
                <w:color w:val="auto"/>
              </w:rPr>
              <w:t>(10)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35,587</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Nina Kjellson</w:t>
            </w: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Melissa McCracken, Ph.D.</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More</w:t>
            </w:r>
            <w:r>
              <w:rPr>
                <w:rFonts w:ascii="Arial" w:cs="Arial" w:eastAsia="Arial" w:hAnsi="Arial"/>
                <w:sz w:val="15"/>
                <w:szCs w:val="15"/>
                <w:color w:val="auto"/>
              </w:rPr>
              <w:t>(1)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1,510,760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Jake Simson, Ph.D.</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Siddarth Subramony, Ph.D.</w:t>
            </w: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Rehan Verjee</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(15 persons)</w:t>
            </w:r>
            <w:r>
              <w:rPr>
                <w:rFonts w:ascii="Arial" w:cs="Arial" w:eastAsia="Arial" w:hAnsi="Arial"/>
                <w:sz w:val="15"/>
                <w:szCs w:val="15"/>
                <w:color w:val="auto"/>
              </w:rPr>
              <w:t>(11)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3,172,817</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right="200" w:hanging="424"/>
        <w:spacing w:after="0" w:line="265" w:lineRule="auto"/>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Consists of (i) 43,478 shares of our common stock held directly, (ii) 1,212,122 shares of common stock issuable upon conversion of Series A preferred stock and (iii) 255,160 shares of common stock issuable upon conversion of Series B preferred stock held by Alta Partners NextGen Fund II, L.P, or Alta. Alta Partners Nextgen Fund II Management, LLC is the general partner of Alta. Daniel Janney, Peter Hudson and Robert More, a member of our board of directors, share voting or investment power over the shares held by Alta. Each of the individuals and entities listed above expressly disclaims beneficial interest of the shares listed above except to the extent of any pecuniary interest therein. The principal address for Alta is Four Embarcadero Center, Suite 2100, San Francisco, CA 94111.</w:t>
      </w:r>
    </w:p>
    <w:p>
      <w:pPr>
        <w:ind w:left="540" w:right="40" w:hanging="424"/>
        <w:spacing w:after="0" w:line="265" w:lineRule="auto"/>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Consists of (i) 1,011,370 shares of Series A Preferred Stock and 546,773 shares of Series B Preferred Stock held by RA Capital Healthcare Fund, L.P. (RA Healthcare); (ii) 393,940 shares of Series A Preferred Stock and 182,257 shares of Series B Preferred Stock held by RA Capital Nexus Fund, L.P. (Nexus); and (iii) 170,448 shares of Series A Preferred Stock held by Blackwell Partners LLC—Series A, or Blackwell. RA Capital Management, L.P. is the investment manager for RA Healthcare, Nexus II and Blackwell. The general partner of RA Capital Management, L.P. is RA Capital Management GP, LLC, of which Peter Kolchinsky and Rajeev Shah are the managing members. RA Capital Management, L.P., RA Capital Management GP, LLC, Peter Kolchinsky and Rajeev Shah may be deemed to have voting and investment power over the shares held of record by RA Healthcare, Nexus and Blackwell. RA Capital Management, L.P., RA Capital Management GP, LLC, Peter Kolchinsky and Rajeev Shah disclaim beneficial ownership of such shares, except to the extent of any pecuniary interest therein. The address of the entities listed above is 200 Berkeley Street, 18th Floor, Boston, Massachusetts 02116.</w:t>
      </w:r>
    </w:p>
    <w:p>
      <w:pPr>
        <w:spacing w:after="0" w:line="1" w:lineRule="exact"/>
        <w:rPr>
          <w:rFonts w:ascii="Arial" w:cs="Arial" w:eastAsia="Arial" w:hAnsi="Arial"/>
          <w:sz w:val="17"/>
          <w:szCs w:val="17"/>
          <w:color w:val="auto"/>
        </w:rPr>
      </w:pPr>
    </w:p>
    <w:p>
      <w:pPr>
        <w:ind w:left="540" w:right="100" w:hanging="424"/>
        <w:spacing w:after="0" w:line="252"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1,480,242 shares of our common stock issuable upon conversion of our Series A preferred stock held by Boxer Capital, LLC, or Boxer Capital, (ii) and 713,629 shares of our common stock issuable upon conversion of our Series B preferred stock held by Boxer Capital, (iii) 95,516 shares of our common stock issuable upon conversion of our Series A preferred stock held by MVA Investors, LLC, or MVA, and (iv) and 15,401 shares of our common stock issuable upon conversion of our Series B preferred stock held by MVA. Boxer Capital, Boxer Asset Management Inc., or Boxer Management, and Joe Lewis hold shared voting and dispositive power over the shares held by Boxer Capital, and Aaron Davis holds voting and</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54" w:lineRule="auto"/>
        <w:rPr>
          <w:sz w:val="20"/>
          <w:szCs w:val="20"/>
          <w:color w:val="auto"/>
        </w:rPr>
      </w:pPr>
      <w:r>
        <w:rPr>
          <w:rFonts w:ascii="Arial" w:cs="Arial" w:eastAsia="Arial" w:hAnsi="Arial"/>
          <w:sz w:val="18"/>
          <w:szCs w:val="18"/>
          <w:color w:val="auto"/>
        </w:rPr>
        <w:t>dispositive power over the shares owned by MVA. Each of the individuals and entities listed above expressly disclaims beneficial interest of the shares listed above except to the extent of any pecuniary interest therein. The principal business address of Boxer Capital, MVA and Aaron Davis is: 12860 El Camino Real, Suite 300, San Diego, CA 92130. The principal business address of Boxer Management and Joe Lewis is: c/o Cay House P.O. Box N-7776 E.P. Taylor Drive Lyford Cay, New Providence, Bahamas.</w:t>
      </w:r>
    </w:p>
    <w:p>
      <w:pPr>
        <w:spacing w:after="0" w:line="2" w:lineRule="exact"/>
        <w:rPr>
          <w:sz w:val="20"/>
          <w:szCs w:val="20"/>
          <w:color w:val="auto"/>
        </w:rPr>
      </w:pPr>
    </w:p>
    <w:p>
      <w:pPr>
        <w:ind w:left="540" w:right="20" w:hanging="424"/>
        <w:spacing w:after="0" w:line="281"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1,333,334 shares of our common stock issuable upon conversion of our Series A preferred stock held by Canaan XI LP, (ii) 182,257 shares of our common stock issuable upon conversion of our series B preferred stock held by Canaan XI L.P, and (iii) 182,258 shares of our common stock issuable upon conversion of our series B preferred stock held by Canaan 2020+ Co-Investment LP. Canaan Partners XI LLC may be deemed to have sole investment and voting power over the shares held by Canaan XI L.P and Canaan 2020+ Co-Investment LP. Nina Kjellson, a member of our board of directors, Brenton K. Ahrens, Joydeep Bhattacharyya, Richard J. Boyle Jr., Wende S. Hutton, Maha S. Ibrahim, Guy M. Russo, Tim M. Shannon and Hrach Simonian are the managers of Canaan Partners XI LLC. Investment, voting and dispositive decisions with respect to the shares held by Canaan XI L.P. and Canaan Partners 2020+ Co-Investment LLC are made by the managers of Canaan Partners XI LLC, collectively. The address for Canaan XI L.P. and Canaan 2020+ Co-Investment LP is 285 Riverside Ave, Suite 250, Westport, CT 06880.</w:t>
      </w:r>
    </w:p>
    <w:p>
      <w:pPr>
        <w:spacing w:after="0" w:line="4"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729,030 shares of our common stock issuable upon conversion of our Series B preferred stock held by Nextech VI Oncology SCSP. Nextech VI Oncology SCSp represented by its General Partner Nextech VI GP S.a.r.l. Dalia Bleyer, Rocco Sgobbo and Ian Charoub have shared voting power as Managers in Nextech VI GP S.a.r.l., the General Partner of Nextech VI Oncology SCSp, and Alfred Scheidegger, Thilo Schroeder and Jakob Loven have shared voting power in Nextech Invest AG, the Investment Advisor of Nextech VI Oncology SCSp. Each of the individuals and entities listed above expressly disclaims beneficial interest of the shares listed above except to the extent of any pecuniary interest therein. The address for Nextech VI Oncology SCSP is 8, rue Lou Hemmer, L-1748 Senningerberg, Luxembourg.</w:t>
      </w:r>
    </w:p>
    <w:p>
      <w:pPr>
        <w:spacing w:after="0" w:line="3"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(i) 640,000 shares of our common stock held directly, (ii) 40,000 shares of our common stock held Harris Family Irrevocable Trust 1, (iii) 40,000 shares of our common stock held Harris Family Irrevocable Trust 2, (iv) 40,000 shares of our common stock held Harris Family Irrevocable Trust 3, (v) 40,000 shares of our common stock held Harris Family Irrevocable Trust 4, (vi) 13,093 shares of our common stock issuable upon conversion of Series A preferred stock and (vii) 9,740 shares of common stock issuable upon the exercise of stock options granted to Dr. Harris that are exercisable within 60 days of March 31, 2021. Dr. Ryan Harris, is the sole trustee of each of Harris Family Irrevocable Trust 1, Harris Family Irrevocable Trust 2, Harris Family Irrevocable Trust 3 and Harris Family Irrevocable Trust 4, the beneficiaries of which are each of Dr. Harris’ four children. By virtue of the respect trust agreements, Ryan Harris has sole voting and dispositive power over shares held by each of these trusts.</w:t>
      </w:r>
    </w:p>
    <w:p>
      <w:pPr>
        <w:spacing w:after="0" w:line="3"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(i) 200,000 shares of our common stock held directly, (ii) 3,273 shares of our common stock issuable upon conversion of our Series A preferred stock and (iii) 106,164 shares of our common stock issuable upon the exercise of stock options granted to Mr. Bensen that are exercisable within 60 days of March 31, 2021.</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(i) 104,000 shares of our common stock held directly and (ii) 2,164 shares of our common stock issuable upon the exercise of stock options granted to Dr. Swanson that are exercisable within 60 days of March 31, 2021.</w:t>
      </w:r>
    </w:p>
    <w:p>
      <w:pPr>
        <w:jc w:val="both"/>
        <w:ind w:left="540" w:right="340" w:hanging="424"/>
        <w:spacing w:after="0" w:line="265"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Consists of (i) 66,175 shares of our common stock held directly, (ii) 16,366 shares of our common stock issuable upon conversion of Series A preferred stock, (iii) 7,290 shares of common stock issuable upon conversion of Series B preferred and (iv) 1,082 shares of our common stock issuable upon the exercise of stock options granted to Dr. Chen that are exercisable within 60 days of March 31, 2021.</w:t>
      </w:r>
    </w:p>
    <w:p>
      <w:pPr>
        <w:ind w:left="540" w:right="260" w:hanging="424"/>
        <w:spacing w:after="0" w:line="25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(i) 10,869 shares of our common stock held directly and (ii) 24,718 shares of our common stock issuable upon the exercise of stock options granted to Dr. Kaplan that are exercisable within 60 days of March 31, 2021.</w:t>
      </w:r>
    </w:p>
    <w:p>
      <w:pPr>
        <w:ind w:left="540" w:right="280" w:hanging="424"/>
        <w:spacing w:after="0" w:line="255"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(i) 1,456,201 shares of common stock, (ii) 1,253,037 shares of common shares issuable upon the conversion of Series A preferred stock, (iii) 262,450 shares of common stock issuable upon the conversion of Series B preferred stock and (iv) 201,129 shares of common stock underlying stock options exercisable within 60 days of March 31, 2021.</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The following description summarizes some of the terms of our amended and restated certificate of incorporation and amended and restated bylaws, each of which will become effective upon the completion of this offering, the investors’ rights agreement and of the General Corporation Law of the State of Delaware. Because it is only a summary, it does not contain all the information that may be important to you. For a complete description, you should refer to our amended and restated certificate of incorporation, amended and restated bylaws and amended and restated investors’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upon the completion of this offering.</w:t>
      </w:r>
    </w:p>
    <w:p>
      <w:pPr>
        <w:sectPr>
          <w:pgSz w:w="11900" w:h="16838" w:orient="portrait"/>
          <w:cols w:equalWidth="0" w:num="1">
            <w:col w:w="11120"/>
          </w:cols>
          <w:pgMar w:left="320" w:top="459" w:right="459" w:bottom="1440" w:gutter="0" w:footer="0" w:header="0"/>
        </w:sectPr>
      </w:pPr>
    </w:p>
    <w:p>
      <w:pPr>
        <w:spacing w:after="0" w:line="17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Following the completion of this offering, our authorized capital stock will consist of per share, and shares of preferred stock, par value $0.0001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par value $0.0001</w:t>
      </w:r>
    </w:p>
    <w:p>
      <w:pPr>
        <w:spacing w:after="0" w:line="463" w:lineRule="exact"/>
        <w:rPr>
          <w:sz w:val="20"/>
          <w:szCs w:val="20"/>
          <w:color w:val="auto"/>
        </w:rPr>
      </w:pPr>
    </w:p>
    <w:p>
      <w:pPr>
        <w:sectPr>
          <w:pgSz w:w="11900" w:h="16838" w:orient="portrait"/>
          <w:cols w:equalWidth="0" w:num="2">
            <w:col w:w="7120" w:space="640"/>
            <w:col w:w="3360"/>
          </w:cols>
          <w:pgMar w:left="320" w:top="459" w:right="459" w:bottom="1440" w:gutter="0" w:footer="0" w:header="0"/>
          <w:type w:val="continuous"/>
        </w:sectPr>
      </w:pPr>
    </w:p>
    <w:p>
      <w:pPr>
        <w:jc w:val="both"/>
        <w:ind w:left="120" w:right="120" w:firstLine="881"/>
        <w:spacing w:after="0" w:line="342" w:lineRule="auto"/>
        <w:rPr>
          <w:sz w:val="20"/>
          <w:szCs w:val="20"/>
          <w:color w:val="auto"/>
        </w:rPr>
      </w:pPr>
      <w:r>
        <w:rPr>
          <w:rFonts w:ascii="Arial" w:cs="Arial" w:eastAsia="Arial" w:hAnsi="Arial"/>
          <w:sz w:val="16"/>
          <w:szCs w:val="16"/>
          <w:color w:val="auto"/>
        </w:rPr>
        <w:t>As of March 31, 2021, there were 1,510,292 shares of our common stock outstanding and 10,097,839 shares of our common stock issuable upon the automatic conversion of all outstanding shares of our preferred stock in connection with this offering, held of record by stockholders.</w:t>
      </w:r>
    </w:p>
    <w:p>
      <w:pPr>
        <w:sectPr>
          <w:pgSz w:w="11900" w:h="16838" w:orient="portrait"/>
          <w:cols w:equalWidth="0" w:num="1">
            <w:col w:w="11120"/>
          </w:cols>
          <w:pgMar w:left="320" w:top="459" w:right="459" w:bottom="1440" w:gutter="0" w:footer="0" w:header="0"/>
          <w:type w:val="continuous"/>
        </w:sectPr>
      </w:pP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“—Anti-Takeover Effects of Delaware Law and Our Certificate of Incorporation and Bylaws—Amendment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2"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Under the terms of our restated certificate of incorporation that will become effective upon the completion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completion of this offering, there will be no shares of preferred stock outstanding, and we have no present plans to issue any shares of preferred stock.</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As of March 31, 2021, options to purchase 865,032 shares of our common stock were outstanding under our 2020 Plan, of which 196,311 were exercisable as of that date. For additional information regarding the terms of our 2020 Plan, see “Executive and Director Compensation—Incentive award plans—2020 Equity Incentive Plan.”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Immediately following this offering, holders of shares of our common stock will be entitled to certain rights with respect to the registration of such shares for public resale under the Securities Act, pursuant to an amended and restated investors’ rights agreement by and among us and certain of our stockholders,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Form S-1 Registration Rights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If at any time beginning 180 days after the closing date of this offering the holders of at least 50% of the registrable securities then outstanding request in writing that we effect a registration with respect to at least 50% of the registrable securities then outstanding,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If at any time after this offering we propose to register any shares of our common stock under the Securities Act, subject to certain exceptions, the holders of registrable securities will be entitled to a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Form S-3 Registration Rights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If, at any time after we become entitled under the Securities Act to register our shares on a registration statement on Form S-3, the holders of at least 25% of the registrable securities then outstanding request in writing that we effect a registration with respect to the registrable securities of such holders at an aggregate price to the public in the offering of at least $5,000,000, we will be required to effect such registration; provided, however, that we will not be required to effect such a registration if, within any twelve month period, we have already effected two registrations on Form S-3 for the holders of registrable securities.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Expenses and Indemnification</w:t>
      </w:r>
    </w:p>
    <w:p>
      <w:pPr>
        <w:spacing w:after="0" w:line="22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expenses may include all registration and filing fees, printing expenses, fees and disbursements of our counsel, reasonable fees and disbursements of a counsel for the selling securityholders (not to exceed $30,000) and blue sky fees and expenses. Additionally, we have agreed to indemnify selling stockholders for damages, and any legal or other expenses reasonably incurred, arising from or based upon any untrue statement of a material fact contained in any registration statement, an omission or alleged omission to state a material fact in any registration statement or necessary to make the statements therein not misleading, or any violation or alleged violation by the indemnifying party of securities laws, subject to certain exceptions.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Termination of Registration Rights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Each of the foregoing registration rights terminate upon the earlier of five years after the effective date of the registration statement of which this prospectus is a part, the closing of a deemed liquidation event, as defined in our current amended and restated certificate of incorporation, or as to any holder at such time as Rule 144 or another similar exemption under the Securities Act is available for the sale of all of such holders shares without limitation during a three-month period without registration.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ind w:left="120" w:right="80" w:firstLine="881"/>
        <w:spacing w:after="0" w:line="308" w:lineRule="auto"/>
        <w:rPr>
          <w:sz w:val="20"/>
          <w:szCs w:val="20"/>
          <w:color w:val="auto"/>
        </w:rPr>
      </w:pPr>
      <w:r>
        <w:rPr>
          <w:rFonts w:ascii="Arial" w:cs="Arial" w:eastAsia="Arial" w:hAnsi="Arial"/>
          <w:sz w:val="17"/>
          <w:szCs w:val="17"/>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amended and restated certificate of incorporation eliminates the right of stockholders to act by written consent without a meeting.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For more information on the classified board, see “Management—Board Composition.”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225" w:lineRule="exact"/>
        <w:rPr>
          <w:sz w:val="20"/>
          <w:szCs w:val="20"/>
          <w:color w:val="auto"/>
        </w:rPr>
      </w:pPr>
    </w:p>
    <w:p>
      <w:pPr>
        <w:ind w:left="120" w:right="380" w:firstLine="881"/>
        <w:spacing w:after="0" w:line="311" w:lineRule="auto"/>
        <w:rPr>
          <w:sz w:val="20"/>
          <w:szCs w:val="20"/>
          <w:color w:val="auto"/>
        </w:rPr>
      </w:pPr>
      <w:r>
        <w:rPr>
          <w:rFonts w:ascii="Arial" w:cs="Arial" w:eastAsia="Arial" w:hAnsi="Arial"/>
          <w:sz w:val="16"/>
          <w:szCs w:val="16"/>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creditors or other constituents; (3) any action asserting a claim against us arising pursuant to any provision of the General Corporation Law of the State of Delaware or our certificate of incorporation or bylaws; or (4) any action asserting a claim governed by the internal affairs doctrine. For instance, the provision would not apply to actions arising under federal securities laws, including suits brought to enforce any liability or duty created by the Securities Act, Exchange Act, or the rules and regulations thereunder. Our amended and restated certificate of</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including all causes of action asserted against any defendant to such compliant.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amended and restated certificate of incorporation is inapplicable or unenforceable if it is challenged in a proceeding or otherwise.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transfer agent and registrar for our common stock will be the Computershare Trust Company, N.A.. The transfer agent and registrar’s address is 250 Royall Street, Canton, M.A. 02021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common stock on Nasdaq under the trading symbol “TYRA.”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29" w:lineRule="exact"/>
        <w:rPr>
          <w:sz w:val="20"/>
          <w:szCs w:val="20"/>
          <w:color w:val="auto"/>
        </w:rPr>
      </w:pPr>
    </w:p>
    <w:p>
      <w:pPr>
        <w:ind w:left="120" w:right="1260" w:firstLine="881"/>
        <w:spacing w:after="0" w:line="277" w:lineRule="auto"/>
        <w:rPr>
          <w:sz w:val="20"/>
          <w:szCs w:val="20"/>
          <w:color w:val="auto"/>
        </w:rPr>
      </w:pPr>
      <w:r>
        <w:rPr>
          <w:rFonts w:ascii="Arial" w:cs="Arial" w:eastAsia="Arial" w:hAnsi="Arial"/>
          <w:sz w:val="18"/>
          <w:szCs w:val="18"/>
          <w:color w:val="auto"/>
        </w:rPr>
        <w:t>For a discussion of liability and indemnification, see “Executive and Director Compensation—Limitations on Liability and Indemnification.”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46" w:lineRule="exact"/>
        <w:rPr>
          <w:sz w:val="20"/>
          <w:szCs w:val="20"/>
          <w:color w:val="auto"/>
        </w:rPr>
      </w:pPr>
    </w:p>
    <w:p>
      <w:pPr>
        <w:ind w:left="120" w:firstLine="881"/>
        <w:spacing w:after="0" w:line="274" w:lineRule="auto"/>
        <w:rPr>
          <w:sz w:val="20"/>
          <w:szCs w:val="20"/>
          <w:color w:val="auto"/>
        </w:rPr>
      </w:pPr>
      <w:r>
        <w:rPr>
          <w:rFonts w:ascii="Arial" w:cs="Arial" w:eastAsia="Arial" w:hAnsi="Arial"/>
          <w:sz w:val="17"/>
          <w:szCs w:val="17"/>
          <w:color w:val="auto"/>
        </w:rPr>
        <w:t>Based on the number of shares of our common stock outstanding as of March 31, 2021, upon the completion of this offering, we will have outstanding an aggregate of shares of common stock, assuming (i) the issuance of shares of common stock offered by us in this offering,</w:t>
      </w:r>
    </w:p>
    <w:p>
      <w:pPr>
        <w:ind w:left="120" w:right="100" w:hanging="4"/>
        <w:spacing w:after="0" w:line="270" w:lineRule="auto"/>
        <w:tabs>
          <w:tab w:leader="none" w:pos="38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10,097,839 shares of our common stock and the related reclassification of the carrying value of the convertible preferred stock to permanent equity upon the completion of this offering, (iii) no exercise of the underwriters’ option to purchase additional shares of common stock and (iv) no exercise of outstanding options after March 31, 2021.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78" w:lineRule="exact"/>
        <w:rPr>
          <w:sz w:val="20"/>
          <w:szCs w:val="20"/>
          <w:color w:val="auto"/>
        </w:rPr>
      </w:pPr>
    </w:p>
    <w:p>
      <w:pPr>
        <w:ind w:left="120" w:right="140" w:firstLine="881"/>
        <w:spacing w:after="0" w:line="269" w:lineRule="auto"/>
        <w:rPr>
          <w:sz w:val="20"/>
          <w:szCs w:val="20"/>
          <w:color w:val="auto"/>
        </w:rPr>
      </w:pPr>
      <w:r>
        <w:rPr>
          <w:rFonts w:ascii="Arial" w:cs="Arial" w:eastAsia="Arial" w:hAnsi="Arial"/>
          <w:sz w:val="17"/>
          <w:szCs w:val="17"/>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lock-up period, we estimate that</w:t>
      </w:r>
    </w:p>
    <w:p>
      <w:pPr>
        <w:spacing w:after="0" w:line="2"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shares will be available for sale in the public market, subject in some cases to applicable volume limitations under Rule 144.</w:t>
      </w:r>
    </w:p>
    <w:p>
      <w:pPr>
        <w:spacing w:after="0" w:line="222" w:lineRule="exact"/>
        <w:rPr>
          <w:sz w:val="20"/>
          <w:szCs w:val="20"/>
          <w:color w:val="auto"/>
        </w:rPr>
      </w:pPr>
    </w:p>
    <w:p>
      <w:pPr>
        <w:ind w:left="1000"/>
        <w:spacing w:after="0"/>
        <w:tabs>
          <w:tab w:leader="none" w:pos="2900" w:val="left"/>
          <w:tab w:leader="none" w:pos="8880" w:val="left"/>
        </w:tabs>
        <w:rPr>
          <w:sz w:val="20"/>
          <w:szCs w:val="20"/>
          <w:color w:val="auto"/>
        </w:rPr>
      </w:pPr>
      <w:r>
        <w:rPr>
          <w:rFonts w:ascii="Arial" w:cs="Arial" w:eastAsia="Arial" w:hAnsi="Arial"/>
          <w:sz w:val="18"/>
          <w:szCs w:val="18"/>
          <w:color w:val="auto"/>
        </w:rPr>
        <w:t>In addition, of the</w:t>
      </w:r>
      <w:r>
        <w:rPr>
          <w:sz w:val="20"/>
          <w:szCs w:val="20"/>
          <w:color w:val="auto"/>
        </w:rPr>
        <w:tab/>
      </w:r>
      <w:r>
        <w:rPr>
          <w:rFonts w:ascii="Arial" w:cs="Arial" w:eastAsia="Arial" w:hAnsi="Arial"/>
          <w:sz w:val="18"/>
          <w:szCs w:val="18"/>
          <w:color w:val="auto"/>
        </w:rPr>
        <w:t>shares of our common stock that were subject to stock options outstanding as of</w:t>
      </w:r>
      <w:r>
        <w:rPr>
          <w:sz w:val="20"/>
          <w:szCs w:val="20"/>
          <w:color w:val="auto"/>
        </w:rPr>
        <w:tab/>
      </w:r>
      <w:r>
        <w:rPr>
          <w:rFonts w:ascii="Arial" w:cs="Arial" w:eastAsia="Arial" w:hAnsi="Arial"/>
          <w:sz w:val="16"/>
          <w:szCs w:val="16"/>
          <w:color w:val="auto"/>
        </w:rPr>
        <w:t>, 2021, options to purchase</w:t>
      </w:r>
    </w:p>
    <w:p>
      <w:pPr>
        <w:spacing w:after="0" w:line="23" w:lineRule="exact"/>
        <w:rPr>
          <w:sz w:val="20"/>
          <w:szCs w:val="20"/>
          <w:color w:val="auto"/>
        </w:rPr>
      </w:pPr>
    </w:p>
    <w:p>
      <w:pPr>
        <w:ind w:left="120" w:right="160" w:firstLine="585"/>
        <w:spacing w:after="0" w:line="260" w:lineRule="auto"/>
        <w:rPr>
          <w:sz w:val="20"/>
          <w:szCs w:val="20"/>
          <w:color w:val="auto"/>
        </w:rPr>
      </w:pPr>
      <w:r>
        <w:rPr>
          <w:rFonts w:ascii="Arial" w:cs="Arial" w:eastAsia="Arial" w:hAnsi="Arial"/>
          <w:sz w:val="18"/>
          <w:szCs w:val="18"/>
          <w:color w:val="auto"/>
        </w:rPr>
        <w:t>shares of common stock were vested as of , 2021 and, upon exercise, these shares will be eligible for sale subject to the lock–up agreements described below and Rules 144 and 701 under the Securities Act.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connection with this offering, we, our directors, our executive officers and holders of substantially all of our other outstanding shares of common stock or securities convertible into or exchangeable for shares of our common stock outstanding upon the completion of this offering, have agreed, subject to certain limited exceptions, with the underwriters not to directly or indirectly offer, sell, contract to sell, pledge, grant any option to purchase, make any short sale or otherwise dispose of or hedge any shares of our common stock or any options to purchase shares of our common stock, or any securities convertible into or exchangeable for shares of common stock during the period from the date of the lock-up agreement continuing through and including the date 180 days after the date of this prospectus, except with the prior written consent of the representatives of the underwriters, and certain other limited exceptions.</w:t>
      </w:r>
    </w:p>
    <w:p>
      <w:pPr>
        <w:spacing w:after="0" w:line="195" w:lineRule="exact"/>
        <w:rPr>
          <w:sz w:val="20"/>
          <w:szCs w:val="20"/>
          <w:color w:val="auto"/>
        </w:rPr>
      </w:pPr>
    </w:p>
    <w:p>
      <w:pPr>
        <w:ind w:left="120" w:right="80" w:firstLine="881"/>
        <w:spacing w:after="0" w:line="308" w:lineRule="auto"/>
        <w:rPr>
          <w:sz w:val="20"/>
          <w:szCs w:val="20"/>
          <w:color w:val="auto"/>
        </w:rPr>
      </w:pPr>
      <w:r>
        <w:rPr>
          <w:rFonts w:ascii="Arial" w:cs="Arial" w:eastAsia="Arial" w:hAnsi="Arial"/>
          <w:sz w:val="17"/>
          <w:szCs w:val="17"/>
          <w:color w:val="auto"/>
        </w:rPr>
        <w:t>Upon the expiration of the applicable lock-up period, substantially all of the shares subject to such lock-up restrictions will become eligible for sale, subject to the limitations discussed above. For a further description of these lock-up agreements, please see “Underwriting.”</w:t>
      </w:r>
    </w:p>
    <w:p>
      <w:pPr>
        <w:spacing w:after="0" w:line="14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the amended and restated investors’ rights agreement, our standard form of option agreement, our standard form of restricted stock agreement and our standard form of restricted stock purchase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Trading Plans</w:t>
      </w:r>
    </w:p>
    <w:p>
      <w:pPr>
        <w:spacing w:after="0" w:line="229"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120"/>
          </w:cols>
          <w:pgMar w:left="320" w:top="459" w:right="459" w:bottom="1440" w:gutter="0" w:footer="0" w:header="0"/>
        </w:sectPr>
      </w:pPr>
    </w:p>
    <w:p>
      <w:pPr>
        <w:spacing w:after="0" w:line="2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this offering; or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490" w:lineRule="exact"/>
        <w:rPr>
          <w:sz w:val="20"/>
          <w:szCs w:val="20"/>
          <w:color w:val="auto"/>
        </w:rPr>
      </w:pPr>
    </w:p>
    <w:p>
      <w:pPr>
        <w:sectPr>
          <w:pgSz w:w="11900" w:h="16838" w:orient="portrait"/>
          <w:cols w:equalWidth="0" w:num="3">
            <w:col w:w="1160" w:space="260"/>
            <w:col w:w="7180" w:space="640"/>
            <w:col w:w="1880"/>
          </w:cols>
          <w:pgMar w:left="320" w:top="459" w:right="459" w:bottom="1440" w:gutter="0" w:footer="0" w:header="0"/>
          <w:type w:val="continuous"/>
        </w:sectPr>
      </w:pPr>
    </w:p>
    <w:p>
      <w:pPr>
        <w:ind w:left="1420" w:hanging="319"/>
        <w:spacing w:after="0" w:line="277"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during the four calendar weeks preceding the filing of a notice on Form 144 with respect to such sale.</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25"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Upon the completion of this offering, the holders of shares of common stock or their transferees, which includes all of the shares of common stock issuable upon the automatic conversion of 10,097,839 shares of our common stock immediately prior to the completion of this offering,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 described above.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CONSIDERATIONS FOR NON-U.S. HOLDERS OF COMMON STOCK</w:t>
      </w:r>
    </w:p>
    <w:p>
      <w:pPr>
        <w:spacing w:after="0" w:line="211"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192" w:lineRule="exact"/>
        <w:rPr>
          <w:sz w:val="20"/>
          <w:szCs w:val="20"/>
          <w:color w:val="auto"/>
        </w:rPr>
      </w:pPr>
    </w:p>
    <w:p>
      <w:pPr>
        <w:ind w:left="1420" w:hanging="319"/>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This discussion does not address the tax treatment of partnerships or other entities or arrangements that are treated as pass-through entities for U.S. federal income tax purposes or persons that hold their shares of our common stock through partnerships or such other pass-through entities. The tax treatment of a partner in a partnership or other entity or arrangement that is treated as a pass-through entity for U.S. federal income tax purposes generally will depend upon the status of the partner and the activities of the partnership. A partner in a partnership or an investor in any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or the IRS, will not challenge one or more of the tax consequences described herein. We assume in this discussion that a non-U.S. holder holds shares of our common stock as a capital asset, which is generally property held for investment.</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including the alternative minimum tax, the Medicare tax on net investment income or the rules relating to “qualified small business stock,” any U.S. federal tax other than the income tax (including, for example, the estate tax), nor does it address any aspects of U.S. state, local or non-U.S. taxes. This discussion also does not address the special tax rules applicable to certain particular non-U.S. holders, such as:</w:t>
      </w:r>
    </w:p>
    <w:p>
      <w:pPr>
        <w:spacing w:after="0" w:line="215" w:lineRule="exact"/>
        <w:rPr>
          <w:sz w:val="20"/>
          <w:szCs w:val="20"/>
          <w:color w:val="auto"/>
        </w:rPr>
      </w:pPr>
    </w:p>
    <w:p>
      <w:pPr>
        <w:ind w:left="1420" w:hanging="427"/>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80" w:hanging="427"/>
        <w:spacing w:after="0" w:line="277"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252" w:lineRule="exact"/>
        <w:rPr>
          <w:rFonts w:ascii="Arial" w:cs="Arial" w:eastAsia="Arial" w:hAnsi="Arial"/>
          <w:sz w:val="18"/>
          <w:szCs w:val="18"/>
          <w:color w:val="auto"/>
        </w:rPr>
      </w:pPr>
    </w:p>
    <w:p>
      <w:pPr>
        <w:ind w:left="1420" w:right="100" w:hanging="427"/>
        <w:spacing w:after="0" w:line="277"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partners and investors therein);</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52" w:lineRule="exact"/>
        <w:rPr>
          <w:rFonts w:ascii="Arial" w:cs="Arial" w:eastAsia="Arial" w:hAnsi="Arial"/>
          <w:sz w:val="18"/>
          <w:szCs w:val="18"/>
          <w:color w:val="auto"/>
        </w:rPr>
      </w:pPr>
    </w:p>
    <w:p>
      <w:pPr>
        <w:ind w:left="1420" w:right="660" w:hanging="427"/>
        <w:spacing w:after="0" w:line="277"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other integrated investment;</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persons that hold or receive our common stock pursuant to the exercise of any employee stock option or otherwise as compensation;</w:t>
      </w:r>
    </w:p>
    <w:p>
      <w:pPr>
        <w:spacing w:after="0" w:line="275" w:lineRule="exact"/>
        <w:rPr>
          <w:rFonts w:ascii="Arial" w:cs="Arial" w:eastAsia="Arial" w:hAnsi="Arial"/>
          <w:sz w:val="16"/>
          <w:szCs w:val="16"/>
          <w:color w:val="auto"/>
        </w:rPr>
      </w:pPr>
    </w:p>
    <w:p>
      <w:pPr>
        <w:ind w:left="1420" w:hanging="427"/>
        <w:spacing w:after="0"/>
        <w:tabs>
          <w:tab w:leader="none" w:pos="14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investors in pass-through entities (or entities that are treated as disregarded entities for U.S. federal income tax purposes); and</w:t>
      </w:r>
    </w:p>
    <w:p>
      <w:pPr>
        <w:spacing w:after="0" w:line="263" w:lineRule="exact"/>
        <w:rPr>
          <w:rFonts w:ascii="Arial" w:cs="Arial" w:eastAsia="Arial" w:hAnsi="Arial"/>
          <w:sz w:val="17"/>
          <w:szCs w:val="17"/>
          <w:color w:val="auto"/>
        </w:rPr>
      </w:pPr>
    </w:p>
    <w:p>
      <w:pPr>
        <w:ind w:left="1420" w:hanging="427"/>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non-income and non-U.S. tax consequences of the purchase, ownership and disposition of our common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229"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As described in the “Dividend Policy” section above, we do not intend to pay any cash dividends on our common stock in the foreseeable future. Distributions, if any, on shares of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shares of common stock. Any remaining excess will be treated as capital gain, subject to the tax treatment described below in “Gain on sale or other taxable disposition of our shares of common stock.” Any such distributions will also be subject to the discussion below under the section titled “Withholding and information reporting requirements—FATCA.”</w:t>
      </w:r>
    </w:p>
    <w:p>
      <w:pPr>
        <w:spacing w:after="0" w:line="177"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specified by an applicable income tax treaty between the United States and such holder’s country of residence.</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may also, under certain circumstances, be subject to an additional “branch profits tax” at a 30% rate or such lower rate as specified by an applicable income tax treaty between the United States and such holder’s country of residence.</w:t>
      </w:r>
    </w:p>
    <w:p>
      <w:pPr>
        <w:spacing w:after="0" w:line="170"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A non-U.S. holder of shares of our common stock who claims the benefit of an applicable income tax treaty between the United States and such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providing the appropriate information to the IRS.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exchange or other taxable disposition of shares of our common stock</w:t>
      </w:r>
    </w:p>
    <w:p>
      <w:pPr>
        <w:spacing w:after="0" w:line="229"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A non-U.S. holder generally will not be subject to any U.S. federal income tax on any gain realized upon such holder’s sale, exchange or other taxable disposition of shares of our common stock unless:</w:t>
      </w:r>
    </w:p>
    <w:p>
      <w:pPr>
        <w:spacing w:after="0" w:line="197" w:lineRule="exact"/>
        <w:rPr>
          <w:sz w:val="20"/>
          <w:szCs w:val="20"/>
          <w:color w:val="auto"/>
        </w:rPr>
      </w:pPr>
    </w:p>
    <w:p>
      <w:pPr>
        <w:ind w:left="1420" w:right="40" w:hanging="427"/>
        <w:spacing w:after="0" w:line="275" w:lineRule="auto"/>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203" w:lineRule="exact"/>
        <w:rPr>
          <w:rFonts w:ascii="Arial" w:cs="Arial" w:eastAsia="Arial" w:hAnsi="Arial"/>
          <w:sz w:val="17"/>
          <w:szCs w:val="17"/>
          <w:color w:val="auto"/>
        </w:rPr>
      </w:pPr>
    </w:p>
    <w:p>
      <w:pPr>
        <w:ind w:left="1420" w:right="20" w:hanging="427"/>
        <w:spacing w:after="0" w:line="273" w:lineRule="auto"/>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204" w:lineRule="exact"/>
        <w:rPr>
          <w:rFonts w:ascii="Arial" w:cs="Arial" w:eastAsia="Arial" w:hAnsi="Arial"/>
          <w:sz w:val="17"/>
          <w:szCs w:val="17"/>
          <w:color w:val="auto"/>
        </w:rPr>
      </w:pPr>
    </w:p>
    <w:p>
      <w:pPr>
        <w:ind w:left="1420" w:right="20" w:hanging="427"/>
        <w:spacing w:after="0" w:line="269" w:lineRule="auto"/>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within the meaning of the relevant provisions of the Code, and the non-U.S. holder holds no more than 5% of our outstanding common stock, directly or indirectly, actually or constructively, during the shorter of the five-year period ending on the date of the disposition or the period that the non-U.S. holder held our common stock. Generally, a corporation is a “U.S. real property holding corporation” only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rules described above.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shares of our common stock paid to such holder and the tax withheld, if any, with respect to such distributions.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Non-U.S. holders may have to comply with specific certification procedures to establish that the holder is not a United States person (as defined in the Code) in order to avoid backup withholding at the applicable rate with respect to dividends on shares of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in “Distributions on our common stock,” generally will be exempt from U.S. backup withholding.</w:t>
      </w:r>
    </w:p>
    <w:p>
      <w:pPr>
        <w:spacing w:after="0" w:line="19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shares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the appropriate information is provided to the IRS in a timely manner.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229" w:lineRule="exact"/>
        <w:rPr>
          <w:sz w:val="20"/>
          <w:szCs w:val="20"/>
          <w:color w:val="auto"/>
        </w:rPr>
      </w:pPr>
    </w:p>
    <w:p>
      <w:pPr>
        <w:ind w:left="120" w:right="140" w:firstLine="881"/>
        <w:spacing w:after="0" w:line="269" w:lineRule="auto"/>
        <w:rPr>
          <w:sz w:val="20"/>
          <w:szCs w:val="20"/>
          <w:color w:val="auto"/>
        </w:rPr>
      </w:pPr>
      <w:r>
        <w:rPr>
          <w:rFonts w:ascii="Arial" w:cs="Arial" w:eastAsia="Arial" w:hAnsi="Arial"/>
          <w:sz w:val="17"/>
          <w:szCs w:val="17"/>
          <w:color w:val="auto"/>
        </w:rPr>
        <w:t>The Foreign Account Tax Compliance Act, or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payments of gross proceeds of sales or other dispositions of shares of our common stock, although under proposed U.S. Treasury regulations, no withholding will apply to payments of gross proceeds. Taxpayers are generally permitted to rely on these proposed Treasury regulations until final Treasury regulations are 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shares of common stock, including, without limitation, the process and deadlines for meeting the applicable requirements to prevent the imposition of the 30% withholding tax under FATCA.</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BofA Securities, Inc., Jefferies LLC and Cowen and Company,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4560" w:type="dxa"/>
            <w:vAlign w:val="bottom"/>
          </w:tcPr>
          <w:p>
            <w:pPr>
              <w:jc w:val="center"/>
              <w:ind w:left="38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4560" w:type="dxa"/>
            <w:vAlign w:val="bottom"/>
          </w:tcPr>
          <w:p>
            <w:pPr>
              <w:jc w:val="center"/>
              <w:ind w:left="382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-8890</wp:posOffset>
            </wp:positionV>
            <wp:extent cx="5974715"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BofA Securities,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5715</wp:posOffset>
            </wp:positionV>
            <wp:extent cx="5657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5657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31750</wp:posOffset>
            </wp:positionV>
            <wp:extent cx="5657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59" w:lineRule="exact"/>
        <w:rPr>
          <w:sz w:val="20"/>
          <w:szCs w:val="20"/>
          <w:color w:val="auto"/>
        </w:rPr>
      </w:pPr>
    </w:p>
    <w:p>
      <w:pPr>
        <w:ind w:left="120" w:right="48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w:t>
      </w:r>
    </w:p>
    <w:p>
      <w:pPr>
        <w:spacing w:after="0" w:line="46"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8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840" w:type="dxa"/>
            <w:vAlign w:val="bottom"/>
            <w:gridSpan w:val="3"/>
          </w:tcPr>
          <w:p>
            <w:pPr>
              <w:ind w:left="1380"/>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Without Option</w:t>
            </w:r>
          </w:p>
        </w:tc>
        <w:tc>
          <w:tcPr>
            <w:tcW w:w="2500" w:type="dxa"/>
            <w:vAlign w:val="bottom"/>
            <w:gridSpan w:val="3"/>
          </w:tcPr>
          <w:p>
            <w:pPr>
              <w:ind w:left="940"/>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tcPr>
          <w:p>
            <w:pPr>
              <w:spacing w:after="0"/>
              <w:rPr>
                <w:sz w:val="18"/>
                <w:szCs w:val="18"/>
                <w:color w:val="auto"/>
              </w:rPr>
            </w:pPr>
          </w:p>
        </w:tc>
      </w:tr>
      <w:tr>
        <w:trPr>
          <w:trHeight w:val="432"/>
        </w:trPr>
        <w:tc>
          <w:tcPr>
            <w:tcW w:w="6540" w:type="dxa"/>
            <w:vAlign w:val="bottom"/>
            <w:gridSpan w:val="4"/>
          </w:tcPr>
          <w:p>
            <w:pPr>
              <w:ind w:left="80"/>
              <w:spacing w:after="0"/>
              <w:rPr>
                <w:sz w:val="20"/>
                <w:szCs w:val="20"/>
                <w:color w:val="auto"/>
              </w:rPr>
            </w:pPr>
            <w:r>
              <w:rPr>
                <w:rFonts w:ascii="Arial" w:cs="Arial" w:eastAsia="Arial" w:hAnsi="Arial"/>
                <w:sz w:val="18"/>
                <w:szCs w:val="18"/>
                <w:color w:val="auto"/>
                <w:w w:val="92"/>
              </w:rPr>
              <w:t>The expenses of the offering, not including the underwriting discount, are estimated at $</w:t>
            </w:r>
          </w:p>
        </w:tc>
        <w:tc>
          <w:tcPr>
            <w:tcW w:w="100" w:type="dxa"/>
            <w:vAlign w:val="bottom"/>
          </w:tcPr>
          <w:p>
            <w:pPr>
              <w:spacing w:after="0"/>
              <w:rPr>
                <w:sz w:val="24"/>
                <w:szCs w:val="24"/>
                <w:color w:val="auto"/>
              </w:rPr>
            </w:pPr>
          </w:p>
        </w:tc>
        <w:tc>
          <w:tcPr>
            <w:tcW w:w="3500" w:type="dxa"/>
            <w:vAlign w:val="bottom"/>
            <w:gridSpan w:val="4"/>
          </w:tcPr>
          <w:p>
            <w:pPr>
              <w:ind w:left="360"/>
              <w:spacing w:after="0"/>
              <w:rPr>
                <w:sz w:val="20"/>
                <w:szCs w:val="20"/>
                <w:color w:val="auto"/>
              </w:rPr>
            </w:pPr>
            <w:r>
              <w:rPr>
                <w:rFonts w:ascii="Arial" w:cs="Arial" w:eastAsia="Arial" w:hAnsi="Arial"/>
                <w:sz w:val="18"/>
                <w:szCs w:val="18"/>
                <w:color w:val="auto"/>
                <w:w w:val="87"/>
              </w:rPr>
              <w:t>and are payable by us. We have also agreed</w:t>
            </w:r>
          </w:p>
        </w:tc>
      </w:tr>
    </w:tbl>
    <w:p>
      <w:pPr>
        <w:ind w:left="120"/>
        <w:spacing w:after="0"/>
        <w:rPr>
          <w:sz w:val="20"/>
          <w:szCs w:val="20"/>
          <w:color w:val="auto"/>
        </w:rPr>
      </w:pPr>
      <w:r>
        <w:rPr>
          <w:rFonts w:ascii="Arial" w:cs="Arial" w:eastAsia="Arial" w:hAnsi="Arial"/>
          <w:sz w:val="16"/>
          <w:szCs w:val="16"/>
          <w:color w:val="auto"/>
        </w:rPr>
        <w:t>to reimburse the underwriters for certain of their expenses incurred in connection with, among others, the review and clearance by the Financial Industry</w:t>
      </w:r>
    </w:p>
    <w:p>
      <w:pPr>
        <w:spacing w:after="0" w:line="386" w:lineRule="exact"/>
        <w:rPr>
          <w:sz w:val="20"/>
          <w:szCs w:val="20"/>
          <w:color w:val="auto"/>
        </w:rPr>
      </w:pPr>
    </w:p>
    <w:p>
      <w:pPr>
        <w:ind w:left="120"/>
        <w:spacing w:after="0"/>
        <w:tabs>
          <w:tab w:leader="none" w:pos="4300" w:val="left"/>
        </w:tabs>
        <w:rPr>
          <w:sz w:val="20"/>
          <w:szCs w:val="20"/>
          <w:color w:val="auto"/>
        </w:rPr>
      </w:pPr>
      <w:r>
        <w:rPr>
          <w:rFonts w:ascii="Arial" w:cs="Arial" w:eastAsia="Arial" w:hAnsi="Arial"/>
          <w:sz w:val="18"/>
          <w:szCs w:val="18"/>
          <w:color w:val="auto"/>
        </w:rPr>
        <w:t>Regulatory Authority, Inc. in an amount of up to $</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000"/>
        <w:spacing w:after="0"/>
        <w:tabs>
          <w:tab w:leader="none" w:pos="1032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6"/>
          <w:szCs w:val="16"/>
          <w:color w:val="auto"/>
        </w:rPr>
        <w:t>additional</w:t>
      </w:r>
    </w:p>
    <w:p>
      <w:pPr>
        <w:spacing w:after="0" w:line="23" w:lineRule="exact"/>
        <w:rPr>
          <w:sz w:val="20"/>
          <w:szCs w:val="20"/>
          <w:color w:val="auto"/>
        </w:rPr>
      </w:pPr>
    </w:p>
    <w:p>
      <w:pPr>
        <w:jc w:val="both"/>
        <w:ind w:left="120" w:right="200"/>
        <w:spacing w:after="0" w:line="255" w:lineRule="auto"/>
        <w:rPr>
          <w:sz w:val="20"/>
          <w:szCs w:val="20"/>
          <w:color w:val="auto"/>
        </w:rPr>
      </w:pPr>
      <w:r>
        <w:rPr>
          <w:rFonts w:ascii="Arial" w:cs="Arial" w:eastAsia="Arial" w:hAnsi="Arial"/>
          <w:sz w:val="18"/>
          <w:szCs w:val="18"/>
          <w:color w:val="auto"/>
        </w:rPr>
        <w:t>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Jefferies LLC and Cowen and Company, LLC.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 or</w:t>
      </w:r>
    </w:p>
    <w:p>
      <w:pPr>
        <w:spacing w:after="0" w:line="263" w:lineRule="exact"/>
        <w:rPr>
          <w:rFonts w:ascii="Arial" w:cs="Arial" w:eastAsia="Arial" w:hAnsi="Arial"/>
          <w:sz w:val="17"/>
          <w:szCs w:val="17"/>
          <w:color w:val="auto"/>
        </w:rPr>
      </w:pPr>
    </w:p>
    <w:p>
      <w:pPr>
        <w:ind w:left="1420" w:right="280" w:hanging="319"/>
        <w:spacing w:after="0" w:line="342" w:lineRule="auto"/>
        <w:tabs>
          <w:tab w:leader="none" w:pos="14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24"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ind w:left="1000"/>
        <w:spacing w:after="0"/>
        <w:tabs>
          <w:tab w:leader="none" w:pos="10640" w:val="left"/>
        </w:tabs>
        <w:rPr>
          <w:sz w:val="20"/>
          <w:szCs w:val="20"/>
          <w:color w:val="auto"/>
        </w:rPr>
      </w:pPr>
      <w:r>
        <w:rPr>
          <w:rFonts w:ascii="Arial" w:cs="Arial" w:eastAsia="Arial" w:hAnsi="Arial"/>
          <w:sz w:val="17"/>
          <w:szCs w:val="17"/>
          <w:color w:val="auto"/>
        </w:rPr>
        <w:t>We expect the shares to be approved for listing on the Nasdaq Global Market, subject to notice of issuance, under the symbol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This prospectus is not a prospectus for the purposes of the Prospectus Regulation (as defined below). This prospectus and any offer if made subsequently is directed only at persons in Member States of the European Economic Area, or the EEA, who are “qualified investors” within the meaning of Article 2(e) of the Prospectus Regulation. This prospectus has been prepared on the basis that any offer of shares in any Member State of the EEA will be made pursuant to an exemption under the Prospectus Regulation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us or any of the underwriters to publish a prospectus pursuant to Article 3 of the Prospectus Regulation in relation to such offer. Neither we nor the underwriters have authorized, nor do we or they authorize, the making of any offer of shares in circumstances in which an obligation arises for us or the underwriters to publish a prospectus for such offer. The expression “Prospectus Regulation” means Regulation (EU) 2017/1129.</w:t>
      </w:r>
    </w:p>
    <w:p>
      <w:pPr>
        <w:spacing w:after="0" w:line="18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relation to each Member State of the EEA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319"/>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252"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Regulation.</w:t>
      </w:r>
    </w:p>
    <w:p>
      <w:pPr>
        <w:spacing w:after="0" w:line="211"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Each person in a Relevant State who initially acquires any shares or to whom any offer is made will be deemed to have represented, acknowledged and agreed to and with us and the underwriters that it is a qualified investor within the meaning of the Prospectus Regulation.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the underwriters and their affiliates will rely upon the truth and accuracy of the foregoing representations, acknowledgements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agreements.</w:t>
      </w:r>
    </w:p>
    <w:p>
      <w:pPr>
        <w:spacing w:after="0" w:line="211"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This prospectus may not be distributed or circulated to any person in the United Kingdom, or UK,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In the UK, this prospectus is not a prospectus for the purposes of the UK Prospectus Regulation (as defined below). This prospectus has been prepared on the basis that any offer if made subsequently is directed only at persons in the UK who are “qualified investors” within the meaning of Article 2(e) of the UK Prospectus Regulation. This prospectus has been prepared on the basis that any offer of shares in the UK will be made pursuant to an exemption under the UK Prospectus Regulation from the requirement to publish a prospectus for offers of shares. Accordingly any person making or intending to make an offer in the UK of shares which are the subject of the offering contemplated in this prospectus may only do so in circumstances in which no obligation arises for us or any of the underwriters to publish a prospectus pursuant to Section 85 of the UK’s Financial Services and Markets Act 2000, as amended (the “FSMA”) in relation to such offer. Neither we nor the underwriters have authorized, nor do we or they authorize, the making of any offer of shares in circumstances in which an obligation arises for us or the underwriters to publish a prospectus for such offer. The expression “UK Prospectus Regulation” means Regulation (EU) 2017/1129 as it forms part of domestic law of the UK by virtue of the European Union (Withdrawal) Act 2018, as amended by the European Union (Withdrawal Agreement) Act 2020.</w:t>
      </w:r>
    </w:p>
    <w:p>
      <w:pPr>
        <w:spacing w:after="0" w:line="168"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shares may only be communicated or caused to be communicated in circumstances in which Section 21(1) of the FSMA does not apply to us.</w:t>
      </w:r>
    </w:p>
    <w:p>
      <w:pPr>
        <w:spacing w:after="0" w:line="184" w:lineRule="exact"/>
        <w:rPr>
          <w:sz w:val="20"/>
          <w:szCs w:val="20"/>
          <w:color w:val="auto"/>
        </w:rPr>
      </w:pPr>
    </w:p>
    <w:p>
      <w:pPr>
        <w:jc w:val="both"/>
        <w:ind w:left="120" w:right="40" w:firstLine="881"/>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in, from or otherwise involving the UK.</w:t>
      </w:r>
    </w:p>
    <w:p>
      <w:pPr>
        <w:spacing w:after="0" w:line="170" w:lineRule="exact"/>
        <w:rPr>
          <w:sz w:val="20"/>
          <w:szCs w:val="20"/>
          <w:color w:val="auto"/>
        </w:rPr>
      </w:pPr>
    </w:p>
    <w:p>
      <w:pPr>
        <w:jc w:val="both"/>
        <w:ind w:left="120" w:right="100" w:firstLine="881"/>
        <w:spacing w:after="0" w:line="259" w:lineRule="auto"/>
        <w:rPr>
          <w:sz w:val="20"/>
          <w:szCs w:val="20"/>
          <w:color w:val="auto"/>
        </w:rPr>
      </w:pPr>
      <w:r>
        <w:rPr>
          <w:rFonts w:ascii="Arial" w:cs="Arial" w:eastAsia="Arial" w:hAnsi="Arial"/>
          <w:sz w:val="18"/>
          <w:szCs w:val="18"/>
          <w:color w:val="auto"/>
        </w:rPr>
        <w:t>In relation to the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5480" w:right="1920" w:hanging="4379"/>
        <w:spacing w:after="0" w:line="449" w:lineRule="auto"/>
        <w:tabs>
          <w:tab w:leader="none" w:pos="14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 193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77"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provided that no such offer of shares shall require us or any underwriter to publish a prospectus pursuant to Section 85 of the FSMA.</w:t>
      </w:r>
    </w:p>
    <w:p>
      <w:pPr>
        <w:spacing w:after="0" w:line="237" w:lineRule="exact"/>
        <w:rPr>
          <w:sz w:val="20"/>
          <w:szCs w:val="20"/>
          <w:color w:val="auto"/>
        </w:rPr>
      </w:pPr>
    </w:p>
    <w:p>
      <w:pPr>
        <w:ind w:left="120" w:right="20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us and the underwriters that it is a qualified investor within the meaning of the UK Prospectus Regulation.</w:t>
      </w:r>
    </w:p>
    <w:p>
      <w:pPr>
        <w:spacing w:after="0" w:line="12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or in circumstances in which the prior consent of the underwriters has been obtained to each such proposed offer or resale.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the underwriters and their affiliates will rely upon the truth and accuracy of the foregoing representations, acknowledgements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agreements.</w:t>
      </w:r>
    </w:p>
    <w:p>
      <w:pPr>
        <w:spacing w:after="0" w:line="211"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0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 Japan, or to or for the account or benefit of any Japanese Person or to others for re-offering or resale, directly or indirectly, in Japan or to or for the account or benefit of, any Japanese Person, except pursuant to an exemption from the registration requirements of the Financial Instruments and Exchange Law of Japan and otherwise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This prospectus has not been and will not be registered as a prospectus under the Securities and Futures Act, Chapter 289 of Singapore (the “SFA”) by the Monetary Authority of Singapore, and the offer of the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Singapore is made primarily pursuant to the exemptions under Section 274 and 275 of the SFA.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It is a condition of the offer that where the shares are subscribed for or acquired pursuant to an offer made in reliance on Section 275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SFA by a Relevant Person which is:</w:t>
      </w:r>
    </w:p>
    <w:p>
      <w:pPr>
        <w:spacing w:after="0" w:line="116" w:lineRule="exact"/>
        <w:rPr>
          <w:sz w:val="20"/>
          <w:szCs w:val="20"/>
          <w:color w:val="auto"/>
        </w:rPr>
      </w:pPr>
    </w:p>
    <w:p>
      <w:pPr>
        <w:ind w:left="1420" w:right="180" w:hanging="427"/>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420" w:right="120" w:hanging="427"/>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shares except:</w:t>
      </w:r>
    </w:p>
    <w:p>
      <w:pPr>
        <w:spacing w:after="0" w:line="89" w:lineRule="exact"/>
        <w:rPr>
          <w:sz w:val="20"/>
          <w:szCs w:val="20"/>
          <w:color w:val="auto"/>
        </w:rPr>
      </w:pPr>
    </w:p>
    <w:p>
      <w:pPr>
        <w:ind w:left="1420" w:right="20" w:hanging="427"/>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 Institutional Investor, an Accredited Investor, a Relevant Person, or which arises from an offer referred to in Section 275(1A) of the SFA (in the case of that corporation) or Section 276(4)(i)(B) of the SFA (in the case of that trust);</w:t>
      </w:r>
    </w:p>
    <w:p>
      <w:pPr>
        <w:spacing w:after="0" w:line="75" w:lineRule="exact"/>
        <w:rPr>
          <w:rFonts w:ascii="Arial" w:cs="Arial" w:eastAsia="Arial" w:hAnsi="Arial"/>
          <w:sz w:val="18"/>
          <w:szCs w:val="18"/>
          <w:color w:val="auto"/>
        </w:rPr>
      </w:pPr>
    </w:p>
    <w:p>
      <w:pPr>
        <w:ind w:left="1420" w:hanging="427"/>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20" w:hanging="427"/>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20" w:hanging="427"/>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20" w:right="360" w:hanging="427"/>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60"/>
          </w:cols>
          <w:pgMar w:left="320" w:top="459"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00" w:firstLine="881"/>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Latham &amp; Watkins LLP, San Diego, California. Certain legal matters related to this offering will be passed upon for the underwriters by Sidley Austin LLP, San Francisco, California.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2019 and December 31, 2020, and for each of the two years in the period ended December 31, 2020, as set forth in their report. We’ve included our financial statements in the prospectus and elsewhere in the registration statement in reliance on Ernst &amp; Young LLP’s report, given on their authority as experts in accounting and auditing.</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The SEC maintains an Internet website that contains reports, proxy statements and other information about registrants, like us, that file electronically with the SEC. The address of that site is www.sec.gov.</w:t>
      </w:r>
    </w:p>
    <w:p>
      <w:pPr>
        <w:spacing w:after="0" w:line="181"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We also maintain a website at www.tyra.bio. Upon the completion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 We have included our website address as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80" w:type="dxa"/>
            <w:vAlign w:val="bottom"/>
            <w:gridSpan w:val="2"/>
          </w:tcPr>
          <w:p>
            <w:pPr>
              <w:jc w:val="center"/>
              <w:ind w:right="3710"/>
              <w:spacing w:after="0"/>
              <w:rPr>
                <w:sz w:val="20"/>
                <w:szCs w:val="20"/>
                <w:color w:val="auto"/>
              </w:rPr>
            </w:pPr>
            <w:r>
              <w:rPr>
                <w:rFonts w:ascii="Arial" w:cs="Arial" w:eastAsia="Arial" w:hAnsi="Arial"/>
                <w:sz w:val="18"/>
                <w:szCs w:val="18"/>
                <w:b w:val="1"/>
                <w:bCs w:val="1"/>
                <w:color w:val="auto"/>
                <w:w w:val="87"/>
              </w:rPr>
              <w:t>Tyra Biosciences, Inc.</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80" w:type="dxa"/>
            <w:vAlign w:val="bottom"/>
            <w:gridSpan w:val="2"/>
          </w:tcPr>
          <w:p>
            <w:pPr>
              <w:jc w:val="center"/>
              <w:ind w:right="3710"/>
              <w:spacing w:after="0"/>
              <w:rPr>
                <w:sz w:val="20"/>
                <w:szCs w:val="20"/>
                <w:color w:val="auto"/>
              </w:rPr>
            </w:pPr>
            <w:r>
              <w:rPr>
                <w:rFonts w:ascii="Arial" w:cs="Arial" w:eastAsia="Arial" w:hAnsi="Arial"/>
                <w:sz w:val="18"/>
                <w:szCs w:val="18"/>
                <w:b w:val="1"/>
                <w:bCs w:val="1"/>
                <w:color w:val="auto"/>
                <w:w w:val="90"/>
              </w:rPr>
              <w:t>Index to Financial Statements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600" w:type="dxa"/>
            <w:vAlign w:val="bottom"/>
            <w:gridSpan w:val="7"/>
            <w:vMerge w:val="restart"/>
          </w:tcPr>
          <w:p>
            <w:pPr>
              <w:spacing w:after="0"/>
              <w:rPr>
                <w:sz w:val="20"/>
                <w:szCs w:val="20"/>
                <w:color w:val="auto"/>
              </w:rPr>
            </w:pPr>
            <w:r>
              <w:rPr>
                <w:rFonts w:ascii="Arial" w:cs="Arial" w:eastAsia="Arial" w:hAnsi="Arial"/>
                <w:sz w:val="18"/>
                <w:szCs w:val="18"/>
                <w:color w:val="auto"/>
              </w:rPr>
              <w:t>Audited Financial Statements as of and for the Year Ended December 31, 2019 and 2020:</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600" w:type="dxa"/>
            <w:vAlign w:val="bottom"/>
            <w:gridSpan w:val="7"/>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202">
              <w:r>
                <w:rPr>
                  <w:rFonts w:ascii="Arial" w:cs="Arial" w:eastAsia="Arial" w:hAnsi="Arial"/>
                  <w:sz w:val="18"/>
                  <w:szCs w:val="18"/>
                  <w:color w:val="0000EE"/>
                  <w:w w:val="91"/>
                </w:rPr>
                <w:t>Report of Independent Registered Public Accounting Firm</w:t>
              </w:r>
            </w:hyperlink>
          </w:p>
        </w:tc>
        <w:tc>
          <w:tcPr>
            <w:tcW w:w="6380" w:type="dxa"/>
            <w:vAlign w:val="bottom"/>
            <w:gridSpan w:val="2"/>
          </w:tcPr>
          <w:p>
            <w:pPr>
              <w:spacing w:after="0"/>
              <w:rPr>
                <w:sz w:val="16"/>
                <w:szCs w:val="16"/>
                <w:color w:val="auto"/>
              </w:rPr>
            </w:pPr>
          </w:p>
        </w:tc>
        <w:tc>
          <w:tcPr>
            <w:tcW w:w="3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03">
              <w:r>
                <w:rPr>
                  <w:rFonts w:ascii="Arial" w:cs="Arial" w:eastAsia="Arial" w:hAnsi="Arial"/>
                  <w:sz w:val="18"/>
                  <w:szCs w:val="18"/>
                  <w:color w:val="0000EE"/>
                  <w:w w:val="85"/>
                </w:rPr>
                <w:t>Balance Sheets</w:t>
              </w:r>
            </w:hyperlink>
          </w:p>
        </w:tc>
        <w:tc>
          <w:tcPr>
            <w:tcW w:w="9500" w:type="dxa"/>
            <w:vAlign w:val="bottom"/>
            <w:gridSpan w:val="6"/>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Statements of Operations and Comprehensive Loss</w:t>
              </w:r>
            </w:hyperlink>
          </w:p>
        </w:tc>
        <w:tc>
          <w:tcPr>
            <w:tcW w:w="692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05">
              <w:r>
                <w:rPr>
                  <w:rFonts w:ascii="Arial" w:cs="Arial" w:eastAsia="Arial" w:hAnsi="Arial"/>
                  <w:sz w:val="18"/>
                  <w:szCs w:val="18"/>
                  <w:color w:val="0000EE"/>
                  <w:w w:val="91"/>
                </w:rPr>
                <w:t>Statements of Convertible Preferred Stock and Stockholders’ Deficit</w:t>
              </w:r>
            </w:hyperlink>
          </w:p>
        </w:tc>
        <w:tc>
          <w:tcPr>
            <w:tcW w:w="566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06">
              <w:r>
                <w:rPr>
                  <w:rFonts w:ascii="Arial" w:cs="Arial" w:eastAsia="Arial" w:hAnsi="Arial"/>
                  <w:sz w:val="18"/>
                  <w:szCs w:val="18"/>
                  <w:color w:val="0000EE"/>
                  <w:w w:val="88"/>
                </w:rPr>
                <w:t>Statements of Cash Flows</w:t>
              </w:r>
            </w:hyperlink>
          </w:p>
        </w:tc>
        <w:tc>
          <w:tcPr>
            <w:tcW w:w="8720" w:type="dxa"/>
            <w:vAlign w:val="bottom"/>
            <w:gridSpan w:val="5"/>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600" w:type="dxa"/>
            <w:vAlign w:val="bottom"/>
            <w:gridSpan w:val="7"/>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Notes to Financial Statements</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140" w:type="dxa"/>
            <w:vAlign w:val="bottom"/>
            <w:gridSpan w:val="3"/>
            <w:shd w:val="clear" w:color="auto" w:fill="0000EE"/>
          </w:tcPr>
          <w:p>
            <w:pPr>
              <w:spacing w:after="0" w:line="20" w:lineRule="exact"/>
              <w:rPr>
                <w:sz w:val="1"/>
                <w:szCs w:val="1"/>
                <w:color w:val="auto"/>
              </w:rPr>
            </w:pPr>
          </w:p>
        </w:tc>
        <w:tc>
          <w:tcPr>
            <w:tcW w:w="84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00" w:type="dxa"/>
            <w:vAlign w:val="bottom"/>
            <w:gridSpan w:val="7"/>
          </w:tcPr>
          <w:p>
            <w:pPr>
              <w:spacing w:after="0"/>
              <w:rPr>
                <w:sz w:val="20"/>
                <w:szCs w:val="20"/>
                <w:color w:val="auto"/>
              </w:rPr>
            </w:pPr>
            <w:r>
              <w:rPr>
                <w:rFonts w:ascii="Arial" w:cs="Arial" w:eastAsia="Arial" w:hAnsi="Arial"/>
                <w:sz w:val="18"/>
                <w:szCs w:val="18"/>
                <w:color w:val="auto"/>
              </w:rPr>
              <w:t>Financial Statements as of December 31, 2020 and March 31, 2021 and for the Three Months Ended March 31, 2020 and 2021: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00" w:type="dxa"/>
            <w:vAlign w:val="bottom"/>
            <w:tcBorders>
              <w:bottom w:val="single" w:sz="8" w:color="0000EE"/>
            </w:tcBorders>
          </w:tcPr>
          <w:p>
            <w:pPr>
              <w:spacing w:after="0" w:line="190" w:lineRule="exact"/>
              <w:rPr>
                <w:rFonts w:ascii="Arial" w:cs="Arial" w:eastAsia="Arial" w:hAnsi="Arial"/>
                <w:sz w:val="18"/>
                <w:szCs w:val="18"/>
                <w:color w:val="0000EE"/>
                <w:w w:val="85"/>
              </w:rPr>
            </w:pPr>
            <w:hyperlink w:anchor="page226">
              <w:r>
                <w:rPr>
                  <w:rFonts w:ascii="Arial" w:cs="Arial" w:eastAsia="Arial" w:hAnsi="Arial"/>
                  <w:sz w:val="18"/>
                  <w:szCs w:val="18"/>
                  <w:color w:val="0000EE"/>
                  <w:w w:val="85"/>
                </w:rPr>
                <w:t>Balance Sheets</w:t>
              </w:r>
            </w:hyperlink>
          </w:p>
        </w:tc>
        <w:tc>
          <w:tcPr>
            <w:tcW w:w="9500" w:type="dxa"/>
            <w:vAlign w:val="bottom"/>
            <w:gridSpan w:val="6"/>
          </w:tcPr>
          <w:p>
            <w:pPr>
              <w:spacing w:after="0"/>
              <w:rPr>
                <w:sz w:val="16"/>
                <w:szCs w:val="16"/>
                <w:color w:val="auto"/>
              </w:rPr>
            </w:pPr>
          </w:p>
        </w:tc>
        <w:tc>
          <w:tcPr>
            <w:tcW w:w="36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91"/>
              </w:rPr>
              <w:t>F-26</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27">
              <w:r>
                <w:rPr>
                  <w:rFonts w:ascii="Arial" w:cs="Arial" w:eastAsia="Arial" w:hAnsi="Arial"/>
                  <w:sz w:val="18"/>
                  <w:szCs w:val="18"/>
                  <w:color w:val="0000EE"/>
                  <w:w w:val="88"/>
                </w:rPr>
                <w:t>Statements of Operations and Comprehensive Loss</w:t>
              </w:r>
            </w:hyperlink>
          </w:p>
        </w:tc>
        <w:tc>
          <w:tcPr>
            <w:tcW w:w="692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F-27</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28">
              <w:r>
                <w:rPr>
                  <w:rFonts w:ascii="Arial" w:cs="Arial" w:eastAsia="Arial" w:hAnsi="Arial"/>
                  <w:sz w:val="18"/>
                  <w:szCs w:val="18"/>
                  <w:color w:val="0000EE"/>
                  <w:w w:val="91"/>
                </w:rPr>
                <w:t>Statements of Convertible Preferred Stock and Stockholders’ Deficit</w:t>
              </w:r>
            </w:hyperlink>
          </w:p>
        </w:tc>
        <w:tc>
          <w:tcPr>
            <w:tcW w:w="566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F-28</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29">
              <w:r>
                <w:rPr>
                  <w:rFonts w:ascii="Arial" w:cs="Arial" w:eastAsia="Arial" w:hAnsi="Arial"/>
                  <w:sz w:val="18"/>
                  <w:szCs w:val="18"/>
                  <w:color w:val="0000EE"/>
                  <w:w w:val="88"/>
                </w:rPr>
                <w:t>Statements of Cash Flows</w:t>
              </w:r>
            </w:hyperlink>
          </w:p>
        </w:tc>
        <w:tc>
          <w:tcPr>
            <w:tcW w:w="8720" w:type="dxa"/>
            <w:vAlign w:val="bottom"/>
            <w:gridSpan w:val="5"/>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F-29</w:t>
            </w:r>
          </w:p>
        </w:tc>
        <w:tc>
          <w:tcPr>
            <w:tcW w:w="0" w:type="dxa"/>
            <w:vAlign w:val="bottom"/>
          </w:tcPr>
          <w:p>
            <w:pPr>
              <w:spacing w:after="0"/>
              <w:rPr>
                <w:sz w:val="1"/>
                <w:szCs w:val="1"/>
                <w:color w:val="auto"/>
              </w:rPr>
            </w:pPr>
          </w:p>
        </w:tc>
      </w:tr>
      <w:tr>
        <w:trPr>
          <w:trHeight w:val="196"/>
        </w:trPr>
        <w:tc>
          <w:tcPr>
            <w:tcW w:w="10600" w:type="dxa"/>
            <w:vAlign w:val="bottom"/>
            <w:gridSpan w:val="7"/>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Notes to Financial Statements</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F-30</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60" w:type="dxa"/>
            <w:vAlign w:val="bottom"/>
          </w:tcPr>
          <w:p>
            <w:pPr>
              <w:jc w:val="center"/>
              <w:ind w:right="4450"/>
              <w:spacing w:after="0"/>
              <w:rPr>
                <w:sz w:val="20"/>
                <w:szCs w:val="20"/>
                <w:color w:val="auto"/>
              </w:rPr>
            </w:pPr>
            <w:r>
              <w:rPr>
                <w:rFonts w:ascii="Arial" w:cs="Arial" w:eastAsia="Arial" w:hAnsi="Arial"/>
                <w:sz w:val="18"/>
                <w:szCs w:val="18"/>
                <w:color w:val="auto"/>
                <w:w w:val="88"/>
              </w:rPr>
              <w:t>F-1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Tyra Biosciences, Inc.</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audited the accompanying balance sheets of Tyra Biosciences, Inc. (the Company) as of December 31, 2019 and 2020,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the years then ended in conformity with U.S. generally accepted accounting principles.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par value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8"/>
              </w:rPr>
              <w:t>15,224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8"/>
              </w:rPr>
              <w:t>15,281</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Right-of-use asset</w:t>
            </w:r>
          </w:p>
        </w:tc>
        <w:tc>
          <w:tcPr>
            <w:tcW w:w="100" w:type="dxa"/>
            <w:vAlign w:val="bottom"/>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8"/>
              </w:rPr>
              <w:t>16,011</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1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 current</w:t>
            </w:r>
          </w:p>
        </w:tc>
        <w:tc>
          <w:tcPr>
            <w:tcW w:w="10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Simple agreement for future equity</w:t>
            </w:r>
          </w:p>
        </w:tc>
        <w:tc>
          <w:tcPr>
            <w:tcW w:w="100" w:type="dxa"/>
            <w:vAlign w:val="bottom"/>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auto"/>
              </w:rPr>
              <w:t>4,325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5,155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noncurrent</w:t>
            </w:r>
          </w:p>
        </w:tc>
        <w:tc>
          <w:tcPr>
            <w:tcW w:w="10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40" w:type="dxa"/>
            <w:vAlign w:val="bottom"/>
          </w:tcPr>
          <w:p>
            <w:pPr>
              <w:spacing w:after="0" w:line="201" w:lineRule="exact"/>
              <w:rPr>
                <w:sz w:val="20"/>
                <w:szCs w:val="20"/>
                <w:color w:val="auto"/>
              </w:rPr>
            </w:pPr>
            <w:r>
              <w:rPr>
                <w:rFonts w:ascii="Arial" w:cs="Arial" w:eastAsia="Arial" w:hAnsi="Arial"/>
                <w:sz w:val="18"/>
                <w:szCs w:val="18"/>
                <w:color w:val="auto"/>
                <w:w w:val="97"/>
              </w:rPr>
              <w:t>Series A convertible preferred stock, $0.0001 par value; 2,000,000 and 6,223,046 shares authorized at 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180"/>
              <w:spacing w:after="0"/>
              <w:rPr>
                <w:sz w:val="20"/>
                <w:szCs w:val="20"/>
                <w:color w:val="auto"/>
              </w:rPr>
            </w:pPr>
            <w:r>
              <w:rPr>
                <w:rFonts w:ascii="Arial" w:cs="Arial" w:eastAsia="Arial" w:hAnsi="Arial"/>
                <w:sz w:val="18"/>
                <w:szCs w:val="18"/>
                <w:color w:val="auto"/>
              </w:rPr>
              <w:t>2019 and 2020, respectively; 0 and 3,374,560 shares issued and outstanding at December 31, 2019 and 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respectively; $27,840 aggregate liquidation preference at December 31, 2020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5"/>
          </w:tcPr>
          <w:p>
            <w:pPr>
              <w:jc w:val="right"/>
              <w:ind w:right="120"/>
              <w:spacing w:after="0"/>
              <w:rPr>
                <w:sz w:val="20"/>
                <w:szCs w:val="20"/>
                <w:color w:val="auto"/>
              </w:rPr>
            </w:pPr>
            <w:r>
              <w:rPr>
                <w:rFonts w:ascii="Arial" w:cs="Arial" w:eastAsia="Arial" w:hAnsi="Arial"/>
                <w:sz w:val="18"/>
                <w:szCs w:val="18"/>
                <w:color w:val="auto"/>
                <w:w w:val="98"/>
              </w:rPr>
              <w:t>27,651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40" w:type="dxa"/>
            <w:vAlign w:val="bottom"/>
          </w:tcPr>
          <w:p>
            <w:pPr>
              <w:ind w:left="360"/>
              <w:spacing w:after="0" w:line="201" w:lineRule="exact"/>
              <w:rPr>
                <w:sz w:val="20"/>
                <w:szCs w:val="20"/>
                <w:color w:val="auto"/>
              </w:rPr>
            </w:pPr>
            <w:r>
              <w:rPr>
                <w:rFonts w:ascii="Arial" w:cs="Arial" w:eastAsia="Arial" w:hAnsi="Arial"/>
                <w:sz w:val="18"/>
                <w:szCs w:val="18"/>
                <w:color w:val="auto"/>
                <w:w w:val="96"/>
              </w:rPr>
              <w:t>Common stock, $0.0001 par value; 8,000,000 and 10,000,000 shares authorized at December 31, 2019 and 2020,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540"/>
              <w:spacing w:after="0"/>
              <w:rPr>
                <w:sz w:val="20"/>
                <w:szCs w:val="20"/>
                <w:color w:val="auto"/>
              </w:rPr>
            </w:pPr>
            <w:r>
              <w:rPr>
                <w:rFonts w:ascii="Arial" w:cs="Arial" w:eastAsia="Arial" w:hAnsi="Arial"/>
                <w:sz w:val="18"/>
                <w:szCs w:val="18"/>
                <w:color w:val="auto"/>
                <w:w w:val="94"/>
              </w:rPr>
              <w:t>respectively; 1,085,918 and 1,174,554 shares issued at December 31, 2019 and 2020, respectively and 1,041,727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tcPr>
          <w:p>
            <w:pPr>
              <w:ind w:left="540"/>
              <w:spacing w:after="0"/>
              <w:rPr>
                <w:sz w:val="20"/>
                <w:szCs w:val="20"/>
                <w:color w:val="auto"/>
              </w:rPr>
            </w:pPr>
            <w:r>
              <w:rPr>
                <w:rFonts w:ascii="Arial" w:cs="Arial" w:eastAsia="Arial" w:hAnsi="Arial"/>
                <w:sz w:val="18"/>
                <w:szCs w:val="18"/>
                <w:color w:val="auto"/>
              </w:rPr>
              <w:t>and 704,312 shares outstanding at December 31, 2019 and 2020, respectively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60" w:type="dxa"/>
            <w:vAlign w:val="bottom"/>
            <w:gridSpan w:val="6"/>
          </w:tcPr>
          <w:p>
            <w:pPr>
              <w:jc w:val="right"/>
              <w:ind w:right="220"/>
              <w:spacing w:after="0"/>
              <w:rPr>
                <w:sz w:val="20"/>
                <w:szCs w:val="20"/>
                <w:color w:val="auto"/>
              </w:rPr>
            </w:pPr>
            <w:r>
              <w:rPr>
                <w:rFonts w:ascii="Arial" w:cs="Arial" w:eastAsia="Arial" w:hAnsi="Arial"/>
                <w:sz w:val="18"/>
                <w:szCs w:val="18"/>
                <w:color w:val="auto"/>
                <w:w w:val="91"/>
              </w:rPr>
              <w:t>(4,741)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(14,077)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w w:val="91"/>
              </w:rPr>
              <w:t>(4,741)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(13,638)</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528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16,011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11"/>
          </w:tcPr>
          <w:p>
            <w:pPr>
              <w:jc w:val="right"/>
              <w:ind w:right="261"/>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300"/>
              <w:spacing w:after="0"/>
              <w:rPr>
                <w:sz w:val="20"/>
                <w:szCs w:val="20"/>
                <w:color w:val="auto"/>
              </w:rPr>
            </w:pPr>
            <w:r>
              <w:rPr>
                <w:rFonts w:ascii="Arial" w:cs="Arial" w:eastAsia="Arial" w:hAnsi="Arial"/>
                <w:sz w:val="18"/>
                <w:szCs w:val="18"/>
                <w:color w:val="auto"/>
              </w:rPr>
              <w:t>1,790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41"/>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3,122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9,297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Change in fair value of simple agreement for future equity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Total other expense</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(943)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(4,065)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87"/>
              </w:rPr>
              <w:t>1,020,394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w w:val="86"/>
              </w:rPr>
              <w:t>593,744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85"/>
              </w:rPr>
              <w:t>Series A</w:t>
            </w: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right w:val="single" w:sz="8" w:color="auto"/>
            </w:tcBorders>
            <w:gridSpan w:val="7"/>
          </w:tcPr>
          <w:p>
            <w:pPr>
              <w:ind w:left="120"/>
              <w:spacing w:after="0" w:line="158" w:lineRule="exact"/>
              <w:rPr>
                <w:sz w:val="20"/>
                <w:szCs w:val="20"/>
                <w:color w:val="auto"/>
              </w:rPr>
            </w:pPr>
            <w:r>
              <w:rPr>
                <w:rFonts w:ascii="Arial" w:cs="Arial" w:eastAsia="Arial" w:hAnsi="Arial"/>
                <w:sz w:val="14"/>
                <w:szCs w:val="14"/>
                <w:b w:val="1"/>
                <w:bCs w:val="1"/>
                <w:color w:val="auto"/>
              </w:rPr>
              <w:t>Convertible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Common Stock</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Preferred Stock</w:t>
            </w:r>
          </w:p>
        </w:tc>
        <w:tc>
          <w:tcPr>
            <w:tcW w:w="400" w:type="dxa"/>
            <w:vAlign w:val="bottom"/>
            <w:tcBorders>
              <w:right w:val="single" w:sz="8" w:color="auto"/>
            </w:tcBorders>
            <w:gridSpan w:val="2"/>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74"/>
              </w:rPr>
              <w:t>Shares</w:t>
            </w:r>
          </w:p>
        </w:tc>
        <w:tc>
          <w:tcPr>
            <w:tcW w:w="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Amount</w:t>
            </w:r>
          </w:p>
        </w:tc>
        <w:tc>
          <w:tcPr>
            <w:tcW w:w="1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gridSpan w:val="2"/>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Capital</w:t>
            </w:r>
          </w:p>
        </w:tc>
        <w:tc>
          <w:tcPr>
            <w:tcW w:w="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Deficit</w:t>
            </w:r>
          </w:p>
        </w:tc>
        <w:tc>
          <w:tcPr>
            <w:tcW w:w="3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w w:val="94"/>
              </w:rPr>
              <w:t>1,001,812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Vesting of shares of common stock subject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repurchase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8"/>
                <w:szCs w:val="18"/>
                <w:color w:val="auto"/>
              </w:rPr>
              <w:t>39,915</w:t>
            </w:r>
          </w:p>
        </w:tc>
        <w:tc>
          <w:tcPr>
            <w:tcW w:w="1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4"/>
              </w:rPr>
              <w:t>1,041,727</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Series A convertible preferred stock upon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simple agreement for future equity</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526,074</w:t>
            </w:r>
          </w:p>
        </w:tc>
        <w:tc>
          <w:tcPr>
            <w:tcW w:w="18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4,340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w w:val="95"/>
              </w:rPr>
              <w:t>Issuance of Series A convertible preferred stock, net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w w:val="94"/>
              </w:rPr>
              <w:t>2,848,486</w:t>
            </w:r>
          </w:p>
        </w:tc>
        <w:tc>
          <w:tcPr>
            <w:tcW w:w="180" w:type="dxa"/>
            <w:vAlign w:val="bottom"/>
          </w:tcPr>
          <w:p>
            <w:pPr>
              <w:spacing w:after="0"/>
              <w:rPr>
                <w:sz w:val="20"/>
                <w:szCs w:val="20"/>
                <w:color w:val="auto"/>
              </w:rPr>
            </w:pPr>
          </w:p>
        </w:tc>
        <w:tc>
          <w:tcPr>
            <w:tcW w:w="6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87"/>
              </w:rPr>
              <w:t>23,311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Incremental vesting conditions placed on previously</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common shares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20"/>
                <w:szCs w:val="20"/>
                <w:color w:val="auto"/>
              </w:rPr>
            </w:pPr>
          </w:p>
        </w:tc>
        <w:tc>
          <w:tcPr>
            <w:tcW w:w="11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(562,800)</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Vesting of shares of common stock subject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repurchase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8"/>
                <w:szCs w:val="18"/>
                <w:color w:val="auto"/>
              </w:rPr>
              <w:t>225,385</w:t>
            </w:r>
          </w:p>
        </w:tc>
        <w:tc>
          <w:tcPr>
            <w:tcW w:w="1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(9,336)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3,374,560</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27,651</w:t>
            </w:r>
          </w:p>
        </w:tc>
        <w:tc>
          <w:tcPr>
            <w:tcW w:w="2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704,312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439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(14,077)</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(13,638)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Year Ended</w:t>
      </w:r>
    </w:p>
    <w:p>
      <w:pPr>
        <w:jc w:val="center"/>
        <w:ind w:left="930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9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9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gridSpan w:val="3"/>
          </w:tcPr>
          <w:p>
            <w:pPr>
              <w:jc w:val="right"/>
              <w:ind w:right="20"/>
              <w:spacing w:after="0" w:line="12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tcPr>
          <w:p>
            <w:pPr>
              <w:jc w:val="right"/>
              <w:ind w:right="260"/>
              <w:spacing w:after="0"/>
              <w:rPr>
                <w:sz w:val="20"/>
                <w:szCs w:val="20"/>
                <w:color w:val="auto"/>
              </w:rPr>
            </w:pPr>
            <w:r>
              <w:rPr>
                <w:rFonts w:ascii="Arial" w:cs="Arial" w:eastAsia="Arial" w:hAnsi="Arial"/>
                <w:sz w:val="18"/>
                <w:szCs w:val="18"/>
                <w:color w:val="auto"/>
                <w:w w:val="87"/>
              </w:rPr>
              <w:t>(4,065)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(9,336)</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operations: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5"/>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Change in fair value of SAFE commitments</w:t>
            </w:r>
          </w:p>
        </w:tc>
        <w:tc>
          <w:tcPr>
            <w:tcW w:w="100" w:type="dxa"/>
            <w:vAlign w:val="bottom"/>
          </w:tcPr>
          <w:p>
            <w:pPr>
              <w:spacing w:after="0"/>
              <w:rPr>
                <w:sz w:val="18"/>
                <w:szCs w:val="18"/>
                <w:color w:val="auto"/>
              </w:rPr>
            </w:pPr>
          </w:p>
        </w:tc>
        <w:tc>
          <w:tcPr>
            <w:tcW w:w="780" w:type="dxa"/>
            <w:vAlign w:val="bottom"/>
            <w:gridSpan w:val="5"/>
          </w:tcPr>
          <w:p>
            <w:pPr>
              <w:jc w:val="right"/>
              <w:ind w:right="32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8"/>
                <w:szCs w:val="18"/>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r>
      <w:tr>
        <w:trPr>
          <w:trHeight w:val="216"/>
        </w:trPr>
        <w:tc>
          <w:tcPr>
            <w:tcW w:w="9420" w:type="dxa"/>
            <w:vAlign w:val="bottom"/>
          </w:tcPr>
          <w:p>
            <w:pPr>
              <w:ind w:left="7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8"/>
                <w:szCs w:val="18"/>
                <w:color w:val="auto"/>
              </w:rPr>
            </w:pPr>
          </w:p>
        </w:tc>
        <w:tc>
          <w:tcPr>
            <w:tcW w:w="780" w:type="dxa"/>
            <w:vAlign w:val="bottom"/>
            <w:gridSpan w:val="5"/>
          </w:tcPr>
          <w:p>
            <w:pPr>
              <w:jc w:val="right"/>
              <w:ind w:right="32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1,019</w:t>
            </w:r>
          </w:p>
        </w:tc>
      </w:tr>
      <w:tr>
        <w:trPr>
          <w:trHeight w:val="216"/>
        </w:trPr>
        <w:tc>
          <w:tcPr>
            <w:tcW w:w="9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right-of-use assets and lease liabilities, net</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942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77"/>
              </w:rPr>
              <w:t>(2,618)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(7,763)</w:t>
            </w:r>
          </w:p>
        </w:tc>
        <w:tc>
          <w:tcPr>
            <w:tcW w:w="120" w:type="dxa"/>
            <w:vAlign w:val="bottom"/>
          </w:tcPr>
          <w:p>
            <w:pPr>
              <w:spacing w:after="0"/>
              <w:rPr>
                <w:sz w:val="19"/>
                <w:szCs w:val="19"/>
                <w:color w:val="auto"/>
              </w:rPr>
            </w:pPr>
          </w:p>
        </w:tc>
      </w:tr>
      <w:tr>
        <w:trPr>
          <w:trHeight w:val="115"/>
        </w:trPr>
        <w:tc>
          <w:tcPr>
            <w:tcW w:w="9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5"/>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8"/>
                <w:szCs w:val="18"/>
                <w:color w:val="auto"/>
              </w:rPr>
              <w:t>(312)</w:t>
            </w: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r>
      <w:tr>
        <w:trPr>
          <w:trHeight w:val="331"/>
        </w:trPr>
        <w:tc>
          <w:tcPr>
            <w:tcW w:w="9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simple agreement for future equity</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Proceeds from the issuance of Series A convertible preferred stock, net of issuance costs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w w:val="87"/>
              </w:rPr>
              <w:t>23,311</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early exercise of stock options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Payments for financing lease</w:t>
            </w:r>
          </w:p>
        </w:tc>
        <w:tc>
          <w:tcPr>
            <w:tcW w:w="100" w:type="dxa"/>
            <w:vAlign w:val="bottom"/>
          </w:tcPr>
          <w:p>
            <w:pPr>
              <w:spacing w:after="0"/>
              <w:rPr>
                <w:sz w:val="18"/>
                <w:szCs w:val="18"/>
                <w:color w:val="auto"/>
              </w:rPr>
            </w:pPr>
          </w:p>
        </w:tc>
        <w:tc>
          <w:tcPr>
            <w:tcW w:w="780" w:type="dxa"/>
            <w:vAlign w:val="bottom"/>
            <w:gridSpan w:val="5"/>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8"/>
                <w:szCs w:val="18"/>
                <w:color w:val="auto"/>
              </w:rPr>
              <w:t>(17)</w:t>
            </w: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7"/>
              </w:rPr>
              <w:t>23,434</w:t>
            </w: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Net cash increase (decrease) for the period</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77"/>
              </w:rPr>
              <w:t>(2,481)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7"/>
              </w:rPr>
              <w:t>15,359</w:t>
            </w:r>
          </w:p>
        </w:tc>
        <w:tc>
          <w:tcPr>
            <w:tcW w:w="120" w:type="dxa"/>
            <w:vAlign w:val="bottom"/>
          </w:tcPr>
          <w:p>
            <w:pPr>
              <w:spacing w:after="0"/>
              <w:rPr>
                <w:sz w:val="19"/>
                <w:szCs w:val="19"/>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w w:val="97"/>
              </w:rPr>
              <w:t>2,589</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r>
      <w:tr>
        <w:trPr>
          <w:trHeight w:val="230"/>
        </w:trPr>
        <w:tc>
          <w:tcPr>
            <w:tcW w:w="94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15,467</w:t>
            </w:r>
          </w:p>
        </w:tc>
        <w:tc>
          <w:tcPr>
            <w:tcW w:w="120" w:type="dxa"/>
            <w:vAlign w:val="bottom"/>
          </w:tcPr>
          <w:p>
            <w:pPr>
              <w:spacing w:after="0"/>
              <w:rPr>
                <w:sz w:val="20"/>
                <w:szCs w:val="20"/>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cash, cash equivalents and restricted cash to the balance sheet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tcPr>
          <w:p>
            <w:pPr>
              <w:jc w:val="right"/>
              <w:ind w:right="320"/>
              <w:spacing w:after="0"/>
              <w:rPr>
                <w:sz w:val="20"/>
                <w:szCs w:val="20"/>
                <w:color w:val="auto"/>
              </w:rPr>
            </w:pPr>
            <w:r>
              <w:rPr>
                <w:rFonts w:ascii="Arial" w:cs="Arial" w:eastAsia="Arial" w:hAnsi="Arial"/>
                <w:sz w:val="18"/>
                <w:szCs w:val="18"/>
                <w:color w:val="auto"/>
              </w:rPr>
              <w:t>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w w:val="87"/>
              </w:rPr>
              <w:t>15,224</w:t>
            </w: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15,467</w:t>
            </w:r>
          </w:p>
        </w:tc>
        <w:tc>
          <w:tcPr>
            <w:tcW w:w="120" w:type="dxa"/>
            <w:vAlign w:val="bottom"/>
          </w:tcPr>
          <w:p>
            <w:pPr>
              <w:spacing w:after="0"/>
              <w:rPr>
                <w:sz w:val="19"/>
                <w:szCs w:val="19"/>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assets obtained in exchange for finance lease liabilities</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Lease assets obtained in exchange for operating lease liabilities</w:t>
            </w:r>
          </w:p>
        </w:tc>
        <w:tc>
          <w:tcPr>
            <w:tcW w:w="100" w:type="dxa"/>
            <w:vAlign w:val="bottom"/>
          </w:tcPr>
          <w:p>
            <w:pPr>
              <w:spacing w:after="0"/>
              <w:rPr>
                <w:sz w:val="18"/>
                <w:szCs w:val="18"/>
                <w:color w:val="auto"/>
              </w:rPr>
            </w:pPr>
          </w:p>
        </w:tc>
        <w:tc>
          <w:tcPr>
            <w:tcW w:w="780" w:type="dxa"/>
            <w:vAlign w:val="bottom"/>
            <w:gridSpan w:val="5"/>
          </w:tcPr>
          <w:p>
            <w:pPr>
              <w:jc w:val="right"/>
              <w:ind w:right="32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101</w:t>
            </w: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20" w:type="dxa"/>
            <w:vAlign w:val="bottom"/>
          </w:tcPr>
          <w:p>
            <w:pPr>
              <w:ind w:left="720"/>
              <w:spacing w:after="0"/>
              <w:rPr>
                <w:sz w:val="20"/>
                <w:szCs w:val="20"/>
                <w:color w:val="auto"/>
              </w:rPr>
            </w:pPr>
            <w:r>
              <w:rPr>
                <w:rFonts w:ascii="Arial" w:cs="Arial" w:eastAsia="Arial" w:hAnsi="Arial"/>
                <w:sz w:val="18"/>
                <w:szCs w:val="18"/>
                <w:color w:val="auto"/>
              </w:rPr>
              <w:t>Purchases of equipment included in accounts payable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9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issuance costs included in accounts payable and accrued expenses</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9420" w:type="dxa"/>
            <w:vAlign w:val="bottom"/>
          </w:tcPr>
          <w:p>
            <w:pPr>
              <w:ind w:left="720"/>
              <w:spacing w:after="0"/>
              <w:rPr>
                <w:sz w:val="20"/>
                <w:szCs w:val="20"/>
                <w:color w:val="auto"/>
              </w:rPr>
            </w:pPr>
            <w:r>
              <w:rPr>
                <w:rFonts w:ascii="Arial" w:cs="Arial" w:eastAsia="Arial" w:hAnsi="Arial"/>
                <w:sz w:val="18"/>
                <w:szCs w:val="18"/>
                <w:color w:val="auto"/>
              </w:rPr>
              <w:t>Issuance of convertible preferred stock in exchange for simple agreement for future equity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4,340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Tyra Biosciences, Inc. (the “Company”) was incorporated in the state of Delaware on August 2, 2018. The Company is a precision oncology company designing and developing purpose-built therapies specifically designed to overcome therapy resistance and improve the lives of cancer patients whose tumors have acquired resistance over the course of therapy to currently available treatments.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devoted substantially all of its efforts to research and development and has not generated revenues from its principal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operations.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From inception to December 31, 2020, the Company has devoted substantially all of its resources to organizing and staffing the company, business planning, raising capital, developing its proprietary SNAP discovery engine, undertaking research and development activities for its development programs, establishing its intellectual property portfolio, and providing general and administrative support for its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to develop its current and future product candidates. From inception to December 31, 2020, the Company has funded its operations primarily through the issuance of simple agreements for future equity and its Series A convertible preferred stock financing.</w:t>
      </w:r>
    </w:p>
    <w:p>
      <w:pPr>
        <w:spacing w:after="0" w:line="166"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As the Company continues to pursue its business plan, it expects to finance its operations through a combination of equity offerings, debt financings or other capital sources, including potential collaborations, licenses and other similar arrangements. However, there can be no assurance that any additional financing or strategic transactions will be available to the Company on acceptable terms, if at all. If events or circumstances occur such that the Company does not obtain additional funding, it may need to delay, reduce or eliminate its product development or future commercialization efforts, which could have a material adverse effect on the Company’s business, results of operations or financial condition. The accompanying financial statements do not include any adjustments that might be necessary if it were unable to continue as a going concern.</w:t>
      </w:r>
    </w:p>
    <w:p>
      <w:pPr>
        <w:spacing w:after="0" w:line="16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February 2021, the Company received $23.5 million in gross proceeds from the sale of the second closing of Series A convertible preferred stock. Additionally, in March 2021, the Company received $106.3 million in gross proceeds from the sale of Series B convertible preferred stock. As a result of the financings, management believes the Company has sufficient capital to execute its strategic plan and fund operations through at least the next twelve months from the date these financial statements were available to be issued.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340" w:firstLine="881"/>
        <w:spacing w:after="0" w:line="286"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(“GAAP”). Any reference in these notes to applicable guidance is meant to refer to GAAP as found in the Accounting Standards Codification (“ASC”) and Accounting Standards Updates (“ASU”) promulgated by the Financial Accounting Standards Board (“FASB”).</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Accounting estimates and management judgments reflected in the financial statements include: normal recurring accruals, including the accrual of research and development expenses; fair value of simple agreements for future equity (“SAFE”), common stock, convertible preferred stock and stock-based compensation. Although these estimates are based on the Company’s knowledge of current events and actions it may undertake in the future, actual results may materially differ from these estimates and assumptions.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Company operates and manages its business as one operating segment. The Company’s Chief Executive Officer, who is the chief operating decision maker, reviews financial information on an aggregate basis for allocating resources and evaluating financial performance. All long-lived assets are maintained in the United States.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 xml:space="preserve">The Company has issued and entered into SAFEs with investors which grants investors with the rights to future equity upon the occurrence of an equity financing event. As permitted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the Company has elected the fair value option to account for the SAFEs. The Company concluded that the terms of the SAFEs were at arms-length, and the cash received by the Company at issuance of the SAFEs represents fair value. The SAFEs are recorded as a liability on the balance sheet as they give investors the option to redeem the instrument for cash upon a change in control. The Company records subsequent changes in fair value of the SAFEs in the Statements of Operations and Comprehensive Loss. Debt issuance costs related to the SAFEs are expensed in the period incurred. Refer to Note 6 for further information on the SAFEs.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57" w:lineRule="exact"/>
        <w:rPr>
          <w:sz w:val="20"/>
          <w:szCs w:val="20"/>
          <w:color w:val="auto"/>
        </w:rPr>
      </w:pPr>
    </w:p>
    <w:p>
      <w:pPr>
        <w:ind w:left="120" w:right="300" w:firstLine="881"/>
        <w:spacing w:after="0" w:line="342" w:lineRule="auto"/>
        <w:rPr>
          <w:sz w:val="20"/>
          <w:szCs w:val="20"/>
          <w:color w:val="auto"/>
        </w:rPr>
      </w:pPr>
      <w:r>
        <w:rPr>
          <w:rFonts w:ascii="Arial" w:cs="Arial" w:eastAsia="Arial" w:hAnsi="Arial"/>
          <w:sz w:val="16"/>
          <w:szCs w:val="16"/>
          <w:color w:val="auto"/>
        </w:rPr>
        <w:t>The carrying amounts of all cash and cash equivalents, prepaid and other current assets, accounts payable, and accrued and other current liabilities are considered to be representative of their respective fair values because of the short-term nature of those instruments.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Cash equivalents primarily represent funds invested in readily available money market accounts. As of December 31, 2020, the Company had cash and cash equivalents balances deposited at major financial institutions.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Restricted cash is comprised of cash that is restricted as to withdrawal or use under the terms of certain contractual agreements. Restricted cash for years ended December 31, 2019 and 2020 was $0 and $0.2 million, respectively, and consists of collateral for letters of credit related to the Company’s operating leases and are considered a non-current asset on the balance sheets.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Property and equipment is stated at cost and depreciated using the straight-line method over the estimated useful lives of the assets (generally three to seven years, or the remaining term of the lease).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The Company capitalizes costs that are directly associated with in-process equity financings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and Comprehensive Loss.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undiscounted-cash-flow basis, an impairment is recognized to the extent that the carrying value exceeds its fair value. The Company did not recognize impairment losses for the years December 31, 2019 and 2020.</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The Company is required to estimate its expenses resulting from its obligations under contracts with vendors and consultants, in connection with conducting research and development activities. The financial terms of these contracts are subject to negotiations, which vary from contract to contract and may result in payment flows that do not match the periods over which materials or services are provided under such contracts. The Company reflects research and development expenses in its financial statements by matching those expenses with the period in which services and efforts are expended. The Company accounts for these expenses according to the progress of the preclinical study, as measured by the timing of various aspects of the study or related activities. The Company determines accrual estimates through review of the underlying contracts along with preparation of financial models taking into account discussions with research and other key personnel as to the progress of studies, or other services being conducted. To date, the Company has had no material differences between its estimates of such expenses and the amounts actually incurred. During the course of a study, the Company adjusts its rate of expense recognition if actual results differ from its estimate. Nonrefundable advance payments for goods and services, including fees for process development , are deferred and recognized as expense in the period that the related goods are consumed, or services are performed.</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120" w:right="300" w:firstLine="881"/>
        <w:spacing w:after="0" w:line="279" w:lineRule="auto"/>
        <w:rPr>
          <w:sz w:val="20"/>
          <w:szCs w:val="20"/>
          <w:color w:val="auto"/>
        </w:rPr>
      </w:pPr>
      <w:r>
        <w:rPr>
          <w:rFonts w:ascii="Arial" w:cs="Arial" w:eastAsia="Arial" w:hAnsi="Arial"/>
          <w:sz w:val="17"/>
          <w:szCs w:val="17"/>
          <w:color w:val="auto"/>
        </w:rPr>
        <w:t>Research and development expenses consist primarily of external and internal costs related to the development of the Company’s SNAP discovery engine and its product candidates and development programs, including employee related salaries, benefits and stock-based compensation charges for those individuals involved in research and development efforts, costs to third-party contractors to perform research and development activities, and associated overhead expenses. Research and development costs are expensed as incurred.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Statements of Operations and Comprehensive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The Company has operating and finance leases for office and lab space and equipment. 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(“ROU”)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ROUs are recognized on the balance sheet at the commencement date of the lease based on the present value of lease payments over the expected lease term. Certain adjustments to the ROU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w:t>
      </w:r>
    </w:p>
    <w:p>
      <w:pPr>
        <w:spacing w:after="0" w:line="16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Operating and finance ROU assets are reflected in ROU assets. Operating lease liabilities and finance lease liabilities are reflected in leases liabilities, current and noncurrent in the accompanying balance sheets.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Stock-based compensation expense represents the cost of the grant date fair value of employee, officer, director and non-employee stock option grants, estimated in accordance with the applicable accounting guidance, recognized on a straight-line basis over the vesting period. The vesting period generally approximates the expected service period of the awards. The Company recognizes forfeitures as they occur.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risk-free interest rate and expected dividend.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based upon the historical volatility of a number of publicly traded companies in similar stages of clinical development.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225" w:lineRule="exact"/>
        <w:rPr>
          <w:sz w:val="20"/>
          <w:szCs w:val="20"/>
          <w:color w:val="auto"/>
        </w:rPr>
      </w:pPr>
    </w:p>
    <w:p>
      <w:pPr>
        <w:ind w:left="120" w:right="100" w:firstLine="881"/>
        <w:spacing w:after="0" w:line="268" w:lineRule="auto"/>
        <w:rPr>
          <w:sz w:val="20"/>
          <w:szCs w:val="20"/>
          <w:color w:val="auto"/>
        </w:rPr>
      </w:pPr>
      <w:r>
        <w:rPr>
          <w:rFonts w:ascii="Arial" w:cs="Arial" w:eastAsia="Arial" w:hAnsi="Arial"/>
          <w:sz w:val="17"/>
          <w:szCs w:val="17"/>
          <w:color w:val="auto"/>
        </w:rPr>
        <w:t xml:space="preserve">Due to the absence of an active market for the Company’s common stock, the Company utilized methodologies, approaches and assumptions consistent with the American Institute of Certified Public Accountants’ Audit and Accounting Practice Guide: </w:t>
      </w:r>
      <w:r>
        <w:rPr>
          <w:rFonts w:ascii="Arial" w:cs="Arial" w:eastAsia="Arial" w:hAnsi="Arial"/>
          <w:sz w:val="17"/>
          <w:szCs w:val="17"/>
          <w:i w:val="1"/>
          <w:iCs w:val="1"/>
          <w:color w:val="auto"/>
        </w:rPr>
        <w:t>Valuation of Privately-Held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Company Equity Securities Issued as Compensation </w:t>
      </w:r>
      <w:r>
        <w:rPr>
          <w:rFonts w:ascii="Arial" w:cs="Arial" w:eastAsia="Arial" w:hAnsi="Arial"/>
          <w:sz w:val="17"/>
          <w:szCs w:val="17"/>
          <w:color w:val="auto"/>
        </w:rPr>
        <w:t>to estimate the fair value of its common stock. In determining the exercise prices for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the Company has considered the fair value of the common stock as of the grant date. The fair value of the common stock has been determined based upon a variety of factors, including the prices at which the Company sold shares of its convertible preferred stock to outside investors in arms-length transactions, and the superior rights, preferences and privileges of the preferred stock relative to the common stock at the time of each grant; the progress of the Company’s research and development programs, including their stages of development, and the Company’s business strategy; external market and other conditions affecting the biotechnology industry, and trends within the biotechnology industry; the Company’s financial position, including cash on hand, and its historical and forecasted performance and operating results; the lack of an active public market for the Company’s common stock; the likelihood of achieving a liquidity event for the Company’s securityholders, such as an initial public offering or a sale of the company, taking into consideration prevailing market conditions; the hiring of key personnel and the experience of management; and the analysis of initial public offerings and the market performance of peer companies in the biopharmaceutical industry, as well as completed mergers and acquisitions of peer companies.</w:t>
      </w:r>
    </w:p>
    <w:p>
      <w:pPr>
        <w:spacing w:after="0" w:line="186"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Significant changes to the key assumptions underlying the factors used could result in different fair values of common stock at each valuation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convertible preferred stock is classified outside of stockholders’ deficit on the balance sheets as events triggering the liquidation preferences are not solely within the Company’s control. The carrying values of the convertible preferred stock are adjusted to their liquidation preferences if and when it becomes probable that such a liquidation event will occur.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The Company recognizes a liability with regard to loss contingencies when it believes it is probable a liability has been incurred, and the amount can be reasonably estimated. If some amount within a range of loss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2019 and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176" w:lineRule="exact"/>
        <w:rPr>
          <w:sz w:val="20"/>
          <w:szCs w:val="20"/>
          <w:color w:val="auto"/>
        </w:rPr>
      </w:pPr>
    </w:p>
    <w:p>
      <w:pPr>
        <w:ind w:left="120" w:right="580" w:firstLine="881"/>
        <w:spacing w:after="0" w:line="263" w:lineRule="auto"/>
        <w:rPr>
          <w:sz w:val="20"/>
          <w:szCs w:val="20"/>
          <w:color w:val="auto"/>
        </w:rPr>
      </w:pPr>
      <w:r>
        <w:rPr>
          <w:rFonts w:ascii="Arial" w:cs="Arial" w:eastAsia="Arial" w:hAnsi="Arial"/>
          <w:sz w:val="18"/>
          <w:szCs w:val="18"/>
          <w:color w:val="auto"/>
        </w:rPr>
        <w:t>As of December 31, 2019 and 2020, the Company maintained valuation allowances against its deferred tax assets as the Company concluded it had not met the “more likely than not” to be realized threshold. Changes in the valuation allowance when they are recognized in the provision for income taxes may result in a change in the estimated annual effective tax rate.</w:t>
      </w:r>
    </w:p>
    <w:p>
      <w:pPr>
        <w:spacing w:after="0" w:line="184" w:lineRule="exact"/>
        <w:rPr>
          <w:sz w:val="20"/>
          <w:szCs w:val="20"/>
          <w:color w:val="auto"/>
        </w:rPr>
      </w:pPr>
    </w:p>
    <w:p>
      <w:pPr>
        <w:ind w:left="120" w:right="220" w:firstLine="881"/>
        <w:spacing w:after="0" w:line="255" w:lineRule="auto"/>
        <w:rPr>
          <w:sz w:val="20"/>
          <w:szCs w:val="20"/>
          <w:color w:val="auto"/>
        </w:rPr>
      </w:pPr>
      <w:r>
        <w:rPr>
          <w:rFonts w:ascii="Arial" w:cs="Arial" w:eastAsia="Arial" w:hAnsi="Arial"/>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 As of December 31, 2020, the Company had no accrued interest or penalties.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1320" w:firstLine="881"/>
        <w:spacing w:after="0" w:line="342" w:lineRule="auto"/>
        <w:rPr>
          <w:sz w:val="20"/>
          <w:szCs w:val="20"/>
          <w:color w:val="auto"/>
        </w:rPr>
      </w:pPr>
      <w:r>
        <w:rPr>
          <w:rFonts w:ascii="Arial" w:cs="Arial" w:eastAsia="Arial" w:hAnsi="Arial"/>
          <w:sz w:val="16"/>
          <w:szCs w:val="16"/>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Basic net loss per share is calculated by dividing the net loss by the weighted-average number of common stock outstanding for the period. Diluted net loss per share is computed by dividing the net loss by the weighted average number of shares of common stock and common stock equivalents outstanding for the period. Common stock equivalents are only included when their effect is dilutive. The Company’s potentially dilutive securities include convertible preferred stock, unvested common stock issued to founders, unvested common stock upon early exercise of stock options and outstanding stock options under the Company’s equity incentive plan and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5"/>
          </w:tcPr>
          <w:p>
            <w:pPr>
              <w:jc w:val="right"/>
              <w:ind w:right="320"/>
              <w:spacing w:after="0"/>
              <w:rPr>
                <w:sz w:val="20"/>
                <w:szCs w:val="20"/>
                <w:color w:val="auto"/>
              </w:rPr>
            </w:pPr>
            <w:r>
              <w:rPr>
                <w:rFonts w:ascii="Arial" w:cs="Arial" w:eastAsia="Arial" w:hAnsi="Arial"/>
                <w:sz w:val="18"/>
                <w:szCs w:val="18"/>
                <w:color w:val="auto"/>
              </w:rPr>
              <w:t>(4,065)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Weighted average common shares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87"/>
              </w:rPr>
              <w:t>1,072,175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87"/>
              </w:rPr>
              <w:t>1,138,890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Less: weighted average unvested founder shares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(51,781)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(492,174)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700"/>
              <w:spacing w:after="0" w:line="201" w:lineRule="exact"/>
              <w:rPr>
                <w:sz w:val="20"/>
                <w:szCs w:val="20"/>
                <w:color w:val="auto"/>
              </w:rPr>
            </w:pPr>
            <w:r>
              <w:rPr>
                <w:rFonts w:ascii="Arial" w:cs="Arial" w:eastAsia="Arial" w:hAnsi="Arial"/>
                <w:sz w:val="18"/>
                <w:szCs w:val="18"/>
                <w:color w:val="auto"/>
                <w:w w:val="98"/>
              </w:rPr>
              <w:t>Less: weighted average unvested common stock issued upon early exercise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tcPr>
          <w:p>
            <w:pPr>
              <w:ind w:left="880"/>
              <w:spacing w:after="0"/>
              <w:rPr>
                <w:sz w:val="20"/>
                <w:szCs w:val="20"/>
                <w:color w:val="auto"/>
              </w:rPr>
            </w:pPr>
            <w:r>
              <w:rPr>
                <w:rFonts w:ascii="Arial" w:cs="Arial" w:eastAsia="Arial" w:hAnsi="Arial"/>
                <w:sz w:val="18"/>
                <w:szCs w:val="18"/>
                <w:color w:val="auto"/>
              </w:rPr>
              <w:t>common stock options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(52,972)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shares used to compute net loss per common share, basic and diluted</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1,020,394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593,744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(3.98)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0"/>
              </w:rPr>
              <w:t>As of December 31,</w:t>
            </w:r>
          </w:p>
        </w:tc>
        <w:tc>
          <w:tcPr>
            <w:tcW w:w="360" w:type="dxa"/>
            <w:vAlign w:val="bottom"/>
            <w:gridSpan w:val="2"/>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3,374,560</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Unvested restricted common stock subject to repurchase</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44,191</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381,606</w:t>
            </w: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Unvested common stock upon early exercise of stock options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88,636</w:t>
            </w:r>
          </w:p>
        </w:tc>
        <w:tc>
          <w:tcPr>
            <w:tcW w:w="80" w:type="dxa"/>
            <w:vAlign w:val="bottom"/>
            <w:shd w:val="clear" w:color="auto" w:fill="CCEEFF"/>
          </w:tcPr>
          <w:p>
            <w:pPr>
              <w:spacing w:after="0"/>
              <w:rPr>
                <w:sz w:val="18"/>
                <w:szCs w:val="18"/>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529,269</w:t>
            </w:r>
          </w:p>
        </w:tc>
        <w:tc>
          <w:tcPr>
            <w:tcW w:w="8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44,191</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4,374,071</w:t>
            </w:r>
          </w:p>
        </w:tc>
        <w:tc>
          <w:tcPr>
            <w:tcW w:w="80" w:type="dxa"/>
            <w:vAlign w:val="bottom"/>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avail itself of this exemption from new or revised accounting standards and, therefore, will not be subject to the same new or revised accounting standards as other public companies that are not emerging growth companies. As a result, the Company’s financial statements may not be comparable to companies that comply with the new or revised accounting pronouncements as of public company effective dates.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requires a lessee to recognize a lease liability and a right-of-use asset for all leases with lease terms of more than 12 months. Additionally, certain qualitative and quantitative disclosures will be required in the financial statements. Companies may adopt this guidance using a modified retrospective approach for leases that exist or are entered into after the beginning of the earliest comparative period in the financial statements. The Company early adopted this guidance effective January 1, 2019. As a result of the adoption of Topic 842 the Company recognized right-of-use assets and lease liabilities, on January 1, 2019, on its balance sheet. Refer to Note 9 for further information related to the accounting for the lease commitments under Topic 842.</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Board issued this Update as part of its Simplification Initiative to improve areas of GAAP and reduce cost and complexity while maintaining usefulness. The main provisions remove certain exceptions including the exception to the general methodology for calculating income taxes in an interim period when a year-to-date loss exceeds the anticipated loss for the year. In addition, the amendments simplify income tax accounting in the areas such as income based franchise taxes, eliminating the requirements to allocate consolidated current and deferred tax expense in certain instances and a requirement that an entity reflects the effect of enacted changes in tax laws or rates in the annual effective tax rate computation in the interim period that includes the enactment date. For public companies, the standard is effective for fiscal years beginning after December 15, 2019 and interim periods therein. The Company adopted this ASU on the effective date of January 1, 2020, which did not have a material impact on the results of operations, cash flows, financial condition or related disclosures.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8" w:lineRule="exact"/>
        <w:rPr>
          <w:sz w:val="20"/>
          <w:szCs w:val="20"/>
          <w:color w:val="auto"/>
        </w:rPr>
      </w:pPr>
    </w:p>
    <w:p>
      <w:pPr>
        <w:ind w:left="1000" w:right="62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1000" w:right="16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either directly or indirectly, for substantially the full term of the asset or liability.</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—Prices or valuation techniques that require inputs that are both significant to the fair value measurement and unobservable (i.e.</w: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supported by little or no market activity).</w:t>
      </w:r>
    </w:p>
    <w:p>
      <w:pPr>
        <w:spacing w:after="0" w:line="211"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carrying amounts of the Company’s financial instruments, including cash and cash equivalents, prepaid and other current assets, accounts payable, and accrued liabilities, approximate fair value due to their short maturities. Included in cash and cash equivalents at December 31, 2019 and 2020 are $0 and $4.7 million in carrying value and fair value of money market funds based upon a Level 1 fair value assessment. No transfers between levels have occurred during the periods presented.</w:t>
      </w:r>
    </w:p>
    <w:p>
      <w:pPr>
        <w:spacing w:after="0" w:line="187"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The Company has elected the fair value option for the SAFEs. The fair value of the SAFEs as of December 31, 2019 was $4.3 million based upon a Level 3 fair value assessment. Changes in fair value for the years ended December 31, 2019 and 2020 which are reported on the Company’s Statements of Operations and Comprehensive Loss were $0.9 million and $15,000, respectively. The SAFEs converted to shares of the Company’s Series A convertible preferred stock on January 6, 2020. Refer to Note 6 for further information on the SAFE.</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Liabilities measured at fair value on a recurring basis are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0" w:type="dxa"/>
            <w:vAlign w:val="bottom"/>
            <w:gridSpan w:val="4"/>
            <w:vMerge w:val="restart"/>
          </w:tcPr>
          <w:p>
            <w:pPr>
              <w:jc w:val="center"/>
              <w:ind w:left="379"/>
              <w:spacing w:after="0"/>
              <w:rPr>
                <w:sz w:val="20"/>
                <w:szCs w:val="20"/>
                <w:color w:val="auto"/>
              </w:rPr>
            </w:pPr>
            <w:r>
              <w:rPr>
                <w:rFonts w:ascii="Arial" w:cs="Arial" w:eastAsia="Arial" w:hAnsi="Arial"/>
                <w:sz w:val="14"/>
                <w:szCs w:val="14"/>
                <w:b w:val="1"/>
                <w:bCs w:val="1"/>
                <w:color w:val="auto"/>
                <w:w w:val="91"/>
              </w:rPr>
              <w:t>Quoted Prices in</w:t>
            </w: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Fair Value Measurements Using</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1"/>
              </w:rPr>
              <w:t>As of</w:t>
            </w:r>
          </w:p>
        </w:tc>
        <w:tc>
          <w:tcPr>
            <w:tcW w:w="2200" w:type="dxa"/>
            <w:vAlign w:val="bottom"/>
            <w:gridSpan w:val="4"/>
            <w:vMerge w:val="continue"/>
          </w:tcPr>
          <w:p>
            <w:pPr>
              <w:spacing w:after="0"/>
              <w:rPr>
                <w:sz w:val="10"/>
                <w:szCs w:val="10"/>
                <w:color w:val="auto"/>
              </w:rPr>
            </w:pPr>
          </w:p>
        </w:tc>
        <w:tc>
          <w:tcPr>
            <w:tcW w:w="19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9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2060" w:type="dxa"/>
            <w:vAlign w:val="bottom"/>
            <w:gridSpan w:val="3"/>
          </w:tcPr>
          <w:p>
            <w:pPr>
              <w:jc w:val="center"/>
              <w:ind w:left="11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2019</w:t>
            </w:r>
          </w:p>
        </w:tc>
        <w:tc>
          <w:tcPr>
            <w:tcW w:w="8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Inputs (Level 2)</w:t>
            </w:r>
          </w:p>
        </w:tc>
        <w:tc>
          <w:tcPr>
            <w:tcW w:w="420" w:type="dxa"/>
            <w:vAlign w:val="bottom"/>
          </w:tcPr>
          <w:p>
            <w:pPr>
              <w:spacing w:after="0"/>
              <w:rPr>
                <w:sz w:val="14"/>
                <w:szCs w:val="14"/>
                <w:color w:val="auto"/>
              </w:rPr>
            </w:pPr>
          </w:p>
        </w:tc>
        <w:tc>
          <w:tcPr>
            <w:tcW w:w="1440" w:type="dxa"/>
            <w:vAlign w:val="bottom"/>
            <w:gridSpan w:val="4"/>
          </w:tcPr>
          <w:p>
            <w:pPr>
              <w:jc w:val="center"/>
              <w:ind w:left="239"/>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SAFEs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provides a reconciliation of all liabilities measured at fair value using level 3 significant unobservable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Simple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0"/>
              </w:rPr>
              <w:t>agreement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7"/>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3,226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Issuance of SAFEs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reflected as change in fair value of SAFEs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ind w:left="1540"/>
              <w:spacing w:after="0"/>
              <w:rPr>
                <w:sz w:val="20"/>
                <w:szCs w:val="20"/>
                <w:color w:val="auto"/>
              </w:rPr>
            </w:pPr>
            <w:r>
              <w:rPr>
                <w:rFonts w:ascii="Arial" w:cs="Arial" w:eastAsia="Arial" w:hAnsi="Arial"/>
                <w:sz w:val="18"/>
                <w:szCs w:val="18"/>
                <w:color w:val="auto"/>
              </w:rPr>
              <w:t>Balance at December 31, 2019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reflected as change in fair value of SAFEs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Conversion into Series A convertible preferred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7"/>
          </w:tcPr>
          <w:p>
            <w:pPr>
              <w:jc w:val="right"/>
              <w:ind w:right="6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7"/>
        </w:trPr>
        <w:tc>
          <w:tcPr>
            <w:tcW w:w="154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gridSpan w:val="2"/>
          </w:tcPr>
          <w:p>
            <w:pPr>
              <w:ind w:left="880"/>
              <w:spacing w:after="0"/>
              <w:rPr>
                <w:sz w:val="20"/>
                <w:szCs w:val="20"/>
                <w:color w:val="auto"/>
              </w:rPr>
            </w:pPr>
            <w:r>
              <w:rPr>
                <w:rFonts w:ascii="Arial" w:cs="Arial" w:eastAsia="Arial" w:hAnsi="Arial"/>
                <w:sz w:val="18"/>
                <w:szCs w:val="18"/>
                <w:color w:val="auto"/>
              </w:rPr>
              <w:t>Property and equipment consisted of the following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0"/>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840" w:type="dxa"/>
            <w:vAlign w:val="bottom"/>
            <w:gridSpan w:val="2"/>
          </w:tcPr>
          <w:p>
            <w:pPr>
              <w:ind w:left="154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recognized $8,000 and $47,000 in depreciation expense for the years ended December 31, 2019 and 2020, respectively.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and Other Current Liabilities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20" w:type="dxa"/>
            <w:vAlign w:val="bottom"/>
            <w:gridSpan w:val="2"/>
            <w:vMerge w:val="restart"/>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0"/>
              </w:rPr>
              <w:t>2019</w:t>
            </w:r>
          </w:p>
        </w:tc>
        <w:tc>
          <w:tcPr>
            <w:tcW w:w="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3"/>
              </w:rPr>
              <w:t>December 31,</w:t>
            </w:r>
          </w:p>
        </w:tc>
        <w:tc>
          <w:tcPr>
            <w:tcW w:w="3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other employee benefits</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Accrued research and development</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legal and professional fees</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Accrued other general and administrative fees</w:t>
            </w:r>
          </w:p>
        </w:tc>
        <w:tc>
          <w:tcPr>
            <w:tcW w:w="1580" w:type="dxa"/>
            <w:vAlign w:val="bottom"/>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Simple Agreements for Future Equity</w:t>
      </w:r>
    </w:p>
    <w:p>
      <w:pPr>
        <w:spacing w:after="0" w:line="22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During 2018 and 2019, the Company entered into SAFEs with investors. The SAFEs granted investors with rights to participate in a future equity financing. The SAFEs contained a number of conversion and redemption provisions, including conversion upon an equity event, and settlement upon liquidity or dissolution</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0980"/>
          </w:cols>
          <w:pgMar w:left="320" w:top="459" w:right="5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events. The Company elected the fair value option of accounting for the SAFEs (see Note 3). The issuance costs related to the SAFEs were therefore recorded as a general and administrative expense in the Statements of Operations and Comprehensive Loss.</w:t>
      </w:r>
    </w:p>
    <w:p>
      <w:pPr>
        <w:spacing w:after="0" w:line="170" w:lineRule="exact"/>
        <w:rPr>
          <w:sz w:val="20"/>
          <w:szCs w:val="20"/>
          <w:color w:val="auto"/>
        </w:rPr>
      </w:pPr>
    </w:p>
    <w:p>
      <w:pPr>
        <w:ind w:left="120" w:right="480" w:firstLine="881"/>
        <w:spacing w:after="0" w:line="308" w:lineRule="auto"/>
        <w:rPr>
          <w:sz w:val="20"/>
          <w:szCs w:val="20"/>
          <w:color w:val="auto"/>
        </w:rPr>
      </w:pPr>
      <w:r>
        <w:rPr>
          <w:rFonts w:ascii="Arial" w:cs="Arial" w:eastAsia="Arial" w:hAnsi="Arial"/>
          <w:sz w:val="17"/>
          <w:szCs w:val="17"/>
          <w:color w:val="auto"/>
        </w:rPr>
        <w:t>On January 6, 2020, the Company entered into a Series A Preferred Stock Purchase agreement which resulted in the conversion of the outstanding SAFEs into 526,074 shares of Series A convertible preferred stock at a conversion price of $6.11 per share.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Convertible Preferred Stock and Stockholders’ Deficit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Deficit</w:t>
      </w:r>
    </w:p>
    <w:p>
      <w:pPr>
        <w:spacing w:after="0" w:line="225" w:lineRule="exact"/>
        <w:rPr>
          <w:sz w:val="20"/>
          <w:szCs w:val="20"/>
          <w:color w:val="auto"/>
        </w:rPr>
      </w:pPr>
    </w:p>
    <w:p>
      <w:pPr>
        <w:ind w:left="120" w:right="460" w:firstLine="881"/>
        <w:spacing w:after="0" w:line="263" w:lineRule="auto"/>
        <w:rPr>
          <w:sz w:val="20"/>
          <w:szCs w:val="20"/>
          <w:color w:val="auto"/>
        </w:rPr>
      </w:pPr>
      <w:r>
        <w:rPr>
          <w:rFonts w:ascii="Arial" w:cs="Arial" w:eastAsia="Arial" w:hAnsi="Arial"/>
          <w:sz w:val="18"/>
          <w:szCs w:val="18"/>
          <w:color w:val="auto"/>
        </w:rPr>
        <w:t>Under the Amended and Restated Certificate of Incorporation dated January 6, 2020, the Company had a total of 16,223,046 shares of capital stock authorized for issuance, consisting of 10,000,000 shares of common stock, par value of $0.0001 per share, and 6,223,046 shares of convertible preferred stock, par value of $0.0001 per share.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Company entered into the Series A Preferred Stock Purchase Agreement dated January 6, 2020 (“Stock Purchase Agreement”) whereby the Company agreed to issue and sell, and certain investors agreed to purchase up to an aggregate of 5,696,972 shares of Series A convertible preferred stock, at a price of $8.25 per share, in two closings. In January 2020, the Company completed its first closing and issued 2,848,486 shares at a price of $8.25 per share resulting in gross proceeds of $23.5 million and incurred issuance costs of $0.2 million. The Stock Purchase Agreement granted investors the rights and obligations to purchase an additional 2,848,486 shares of Series A convertible preferred stock (“Future Tranche Right”) at a price of $8.25 per share during a second closing which would occur upon triggering of future milestone events, provided that they occur before January 6, 2022. In February 2021, the Company completed its second closing and issued 2,848,486 shares of Series A convertible preferred stock at a price of $8.25 per share for gross proceeds of $23.5 million and incurred issuance costs of $5,000.</w:t>
      </w:r>
    </w:p>
    <w:p>
      <w:pPr>
        <w:spacing w:after="0" w:line="178"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Company determined that the Future Tranche Right did not meet the definition of a freestanding financial instrument as it was not legally detachable. The Future Tranche Right was also evaluated as an embedded derivative and the Company determined it did not meet the definition of a derivative instrument for which bifurcation would be required.</w:t>
      </w:r>
    </w:p>
    <w:p>
      <w:pPr>
        <w:spacing w:after="0" w:line="184"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As of December 31, 2020, the Company’s Series A convertible preferred stock has been classified as temporary equity in the accompanying balance sheets given that the holders of the convertible preferred stock could cause certain events to occur that are outside of the Company’s control whereby the Company could be obligated to redeem the convertible preferred stock. The carrying value of the convertible preferred stock is not adjusted to the redemption value until the contingent redemption events are considered to be probable of occurring. The Company’s convertible preferred stock has the following characteristics: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Company shall not declare, pay or set aside any dividends on shares of any class of capital stock of the Company unless the holders of the Series A convertible preferred stock shall first receive, or simultaneously receive, a noncumulative dividend on each outstanding share of the Series A convertible preferred stock equal to an amount as defined in the Company’s Amended and Restated Certificate of Incorporation. No such dividends have been declared or paid through December 31,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Preferences on Liquidation</w:t>
      </w:r>
    </w:p>
    <w:p>
      <w:pPr>
        <w:spacing w:after="0" w:line="225"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The holders of the Series A convertible preferred stock are entitled to receive liquidation preferences, in the event of a change in control, at an amount per share equal to the Series A original issuance price of $8.25, plus any dividends declared but unpaid. Liquidation payments to the holders of the Series A convertible preferred stock have priority and are made in preference to any payments to the holders of common stock.</w:t>
      </w:r>
    </w:p>
    <w:p>
      <w:pPr>
        <w:spacing w:after="0" w:line="149"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After full payment of the liquidation preference to the holders of the Series A convertible preferred stock, the remaining assets, if any, will be distributed to the holders of the Series A convertible preferred stock and common stock, pro rata based on the number of shares held by each holder, treating for this purpose all such securities as if they had been converted to common stock.</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The shares of Series A convertible preferred stock are convertible into an equal number of shares of common stock, at the option of the holder, subject to certain anti-dilution adjustments. The conversion rate for the convertible preferred stock is determined by dividing the original issue price by the conversion price. The conversion price is initially the original issue price, but is subject to adjustment for dividends, stock splits, and other distributions. The conversion rate at December 31, 2020 for the Series A convertible preferred stock into common stock was 1:1.</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Each share of Series A convertible preferred stock will be automatically converted into common stock at the then effective conversion rate</w:t>
      </w:r>
    </w:p>
    <w:p>
      <w:pPr>
        <w:spacing w:after="0" w:line="46" w:lineRule="exact"/>
        <w:rPr>
          <w:sz w:val="20"/>
          <w:szCs w:val="20"/>
          <w:color w:val="auto"/>
        </w:rPr>
      </w:pPr>
    </w:p>
    <w:p>
      <w:pPr>
        <w:jc w:val="both"/>
        <w:ind w:left="120" w:right="60" w:hanging="4"/>
        <w:spacing w:after="0" w:line="292" w:lineRule="auto"/>
        <w:tabs>
          <w:tab w:leader="none" w:pos="33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upon the closing of the sale of common stock to the public at a price of at least two and a half times the Series A original issuance price of $8.25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$65.0 million of gross proceeds to the Company, or (ii) the date and time, or the occurrence of an event, specified by vote or written consent of the holders of 60% of the outstanding shares of Series A convertible preferred stock.</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holders of Series A convertible preferred stock do not have any redemption rights, except upon certain liquidation and dissolution events that are outside of the Company’s control.</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holder of each share of Series A convertible preferred stock is entitled to one vote for each share of common stock into which such shares of Series A convertible preferred stock could then be converted and shall vote together with the holders of common stock as a single class, on an as-converted to common stock basis.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As of December 31, 2019 and 2020, of the 8,000,000 and 10,000,000 authorized shares of common stock, respectively, 1,085,918 and 1,174,554 shares were issued, respectively, and 1,041,727 and 704,312 shares were outstanding, respectively.</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preferences and privileges of the holders of the Series A convertible preferred stock. The holders of the common stock are entitled to one vote for each share of common stock held at all meetings of stockholders.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9"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90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3,374,560</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Common stock options granted and outstanding</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529,269</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issuance under the 2020 equity incentive plan</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8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3,914,834</w:t>
            </w:r>
          </w:p>
        </w:tc>
        <w:tc>
          <w:tcPr>
            <w:tcW w:w="8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Since inception, the Company has issued 1,085,918 shares of restricted common stock at a price of $0.0001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December 31, 2019 and 2020 were 44,191 and 381,606 shares, respectively. The amount recorded as liabilities associated with shares issued with repurchase rights were immaterial as of December 31, 2019 and 2020.</w:t>
      </w:r>
    </w:p>
    <w:p>
      <w:pPr>
        <w:spacing w:after="0" w:line="16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January 2020, in connection with the issuance of the Series A convertible preferred stock, the Company’s founders agreed to modify their outstanding Founders Stock to include vesting provisions that require continued service to the Company in order to vest in those shares. As such, the 562,800 modified shares of common stock became compensatory upon such modification. The total compensation cost resulting from the modification was $0.9 million, which will be recognized over the vesting term of three years had a measurement date fair value of $1.58 per share. For the year ended December 31, 2020, 187,596 shares vested and the Company recognized $0.3 million of stock-based compensation related to the awards. As of December 31, 2020, the total unrecognized compensation expense related to unvested Founders Stock was $0.6 million expected to be recognized over a weighted-average period of approximately 2.0 years.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right="460" w:firstLine="881"/>
        <w:spacing w:after="0" w:line="342" w:lineRule="auto"/>
        <w:rPr>
          <w:sz w:val="20"/>
          <w:szCs w:val="20"/>
          <w:color w:val="auto"/>
        </w:rPr>
      </w:pPr>
      <w:r>
        <w:rPr>
          <w:rFonts w:ascii="Arial" w:cs="Arial" w:eastAsia="Arial" w:hAnsi="Arial"/>
          <w:sz w:val="16"/>
          <w:szCs w:val="16"/>
          <w:color w:val="auto"/>
        </w:rPr>
        <w:t>In January 2020, the Company adopted the 2020 Equity Incentive Plan (the “Plan”). The Plan provides for the grant of incentive stock options, non-statutory stock options, stock appreciation rights, restricted stock awards, restricted stock unit awards, and other stock awards.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Plan was amended in December 2020 to increase the total number of shares reserved under the Plan to 628,910.</w:t>
      </w:r>
    </w:p>
    <w:p>
      <w:pPr>
        <w:spacing w:after="0" w:line="225"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Options granted under the Plan are exercisable at various dates as determined upon grant and will expire no more than ten years from their date of grant. The exercise price of each option shall be determined by the Board of Directors based on the estimated fair value of the Company’s stock on the date of the option grant. The exercise price shall not be less than 100% of the fair market value of the Company’s common stock at the time the option is granted. Most option grants generally vest 25% on the first anniversary of the original vesting commencement date, with the balance vesting monthly over the remaining three years and early exercise is permitted. The vesting period generally occurs over four years unless there is a specific performance vesting trigger at which time those shares will vest when the performance trigger is probable to occur.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 summary of the Company’s stock option activity under the Plan is as follows (in thousands, except share and per share data and years):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Weighted-Average</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Weighted-Average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Exercise</w:t>
            </w:r>
          </w:p>
        </w:tc>
        <w:tc>
          <w:tcPr>
            <w:tcW w:w="680" w:type="dxa"/>
            <w:vAlign w:val="bottom"/>
          </w:tcPr>
          <w:p>
            <w:pPr>
              <w:spacing w:after="0"/>
              <w:rPr>
                <w:sz w:val="12"/>
                <w:szCs w:val="12"/>
                <w:color w:val="auto"/>
              </w:rPr>
            </w:pPr>
          </w:p>
        </w:tc>
        <w:tc>
          <w:tcPr>
            <w:tcW w:w="114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Remaining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Price per Share</w:t>
            </w:r>
          </w:p>
        </w:tc>
        <w:tc>
          <w:tcPr>
            <w:tcW w:w="680" w:type="dxa"/>
            <w:vAlign w:val="bottom"/>
          </w:tcPr>
          <w:p>
            <w:pPr>
              <w:spacing w:after="0"/>
              <w:rPr>
                <w:sz w:val="14"/>
                <w:szCs w:val="14"/>
                <w:color w:val="auto"/>
              </w:rPr>
            </w:pPr>
          </w:p>
        </w:tc>
        <w:tc>
          <w:tcPr>
            <w:tcW w:w="1140" w:type="dxa"/>
            <w:vAlign w:val="bottom"/>
          </w:tcPr>
          <w:p>
            <w:pPr>
              <w:jc w:val="right"/>
              <w:ind w:right="42"/>
              <w:spacing w:after="0"/>
              <w:rPr>
                <w:sz w:val="20"/>
                <w:szCs w:val="20"/>
                <w:color w:val="auto"/>
              </w:rPr>
            </w:pPr>
            <w:r>
              <w:rPr>
                <w:rFonts w:ascii="Arial" w:cs="Arial" w:eastAsia="Arial" w:hAnsi="Arial"/>
                <w:sz w:val="14"/>
                <w:szCs w:val="14"/>
                <w:b w:val="1"/>
                <w:bCs w:val="1"/>
                <w:color w:val="auto"/>
              </w:rPr>
              <w:t>Contract Term</w:t>
            </w:r>
          </w:p>
        </w:tc>
        <w:tc>
          <w:tcPr>
            <w:tcW w:w="1660" w:type="dxa"/>
            <w:vAlign w:val="bottom"/>
            <w:gridSpan w:val="4"/>
          </w:tcPr>
          <w:p>
            <w:pPr>
              <w:ind w:left="68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667,836</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12"/>
              <w:spacing w:after="0"/>
              <w:rPr>
                <w:sz w:val="20"/>
                <w:szCs w:val="20"/>
                <w:color w:val="auto"/>
              </w:rPr>
            </w:pPr>
            <w:r>
              <w:rPr>
                <w:rFonts w:ascii="Arial" w:cs="Arial" w:eastAsia="Arial" w:hAnsi="Arial"/>
                <w:sz w:val="18"/>
                <w:szCs w:val="18"/>
                <w:color w:val="auto"/>
                <w:w w:val="85"/>
              </w:rPr>
              <w:t>1.58</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(88,636)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5"/>
              </w:rPr>
              <w:t>1.58</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Cancelled</w:t>
            </w:r>
          </w:p>
        </w:tc>
        <w:tc>
          <w:tcPr>
            <w:tcW w:w="1040" w:type="dxa"/>
            <w:vAlign w:val="bottom"/>
            <w:gridSpan w:val="4"/>
          </w:tcPr>
          <w:p>
            <w:pPr>
              <w:jc w:val="right"/>
              <w:ind w:right="340"/>
              <w:spacing w:after="0"/>
              <w:rPr>
                <w:sz w:val="20"/>
                <w:szCs w:val="20"/>
                <w:color w:val="auto"/>
              </w:rPr>
            </w:pPr>
            <w:r>
              <w:rPr>
                <w:rFonts w:ascii="Arial" w:cs="Arial" w:eastAsia="Arial" w:hAnsi="Arial"/>
                <w:sz w:val="18"/>
                <w:szCs w:val="18"/>
                <w:color w:val="auto"/>
              </w:rPr>
              <w:t>(49,931)</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12"/>
              <w:spacing w:after="0"/>
              <w:rPr>
                <w:sz w:val="20"/>
                <w:szCs w:val="20"/>
                <w:color w:val="auto"/>
              </w:rPr>
            </w:pPr>
            <w:r>
              <w:rPr>
                <w:rFonts w:ascii="Arial" w:cs="Arial" w:eastAsia="Arial" w:hAnsi="Arial"/>
                <w:sz w:val="18"/>
                <w:szCs w:val="18"/>
                <w:color w:val="auto"/>
                <w:w w:val="85"/>
              </w:rPr>
              <w:t>1.58</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529,269</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5"/>
              </w:rPr>
              <w:t>1.58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2020</w:t>
            </w:r>
          </w:p>
        </w:tc>
        <w:tc>
          <w:tcPr>
            <w:tcW w:w="640" w:type="dxa"/>
            <w:vAlign w:val="bottom"/>
            <w:tcBorders>
              <w:bottom w:val="single" w:sz="8" w:color="auto"/>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center"/>
              <w:ind w:left="512"/>
              <w:spacing w:after="0"/>
              <w:rPr>
                <w:sz w:val="20"/>
                <w:szCs w:val="20"/>
                <w:color w:val="auto"/>
              </w:rPr>
            </w:pPr>
            <w:r>
              <w:rPr>
                <w:rFonts w:ascii="Arial" w:cs="Arial" w:eastAsia="Arial" w:hAnsi="Arial"/>
                <w:sz w:val="18"/>
                <w:szCs w:val="18"/>
                <w:color w:val="auto"/>
                <w:w w:val="85"/>
              </w:rPr>
              <w:t>1.58</w:t>
            </w:r>
          </w:p>
        </w:tc>
        <w:tc>
          <w:tcPr>
            <w:tcW w:w="1820" w:type="dxa"/>
            <w:vAlign w:val="bottom"/>
            <w:gridSpan w:val="2"/>
            <w:vMerge w:val="restart"/>
          </w:tcPr>
          <w:p>
            <w:pPr>
              <w:jc w:val="right"/>
              <w:spacing w:after="0"/>
              <w:rPr>
                <w:sz w:val="20"/>
                <w:szCs w:val="20"/>
                <w:color w:val="auto"/>
              </w:rPr>
            </w:pPr>
            <w:r>
              <w:rPr>
                <w:rFonts w:ascii="Arial" w:cs="Arial" w:eastAsia="Arial" w:hAnsi="Arial"/>
                <w:sz w:val="18"/>
                <w:szCs w:val="18"/>
                <w:color w:val="auto"/>
              </w:rPr>
              <w:t>9.5</w:t>
            </w:r>
          </w:p>
        </w:tc>
        <w:tc>
          <w:tcPr>
            <w:tcW w:w="800" w:type="dxa"/>
            <w:vAlign w:val="bottom"/>
            <w:gridSpan w:val="2"/>
            <w:vMerge w:val="restart"/>
          </w:tcPr>
          <w:p>
            <w:pPr>
              <w:ind w:left="68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417,179</w:t>
            </w:r>
          </w:p>
        </w:tc>
        <w:tc>
          <w:tcPr>
            <w:tcW w:w="40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Vested and expected to vest as of</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2020</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529,269</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5"/>
              </w:rPr>
              <w:t>1.58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the year ended December 31, 2020, the total grant date fair value of vested options was $16,000.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weighted-average grant date fair value of employee option grants for the year ended December 31, 2020 was $1.23 per share.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for Early Exercise of Stock Options</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 and will be transferred into common stock and additional paid-in capital as the shares vest. As of December 31, 2020, 88,636 unvested shares issued under early exercise provisions were subject to repurchase by the Company. As of December 31, 2020, the Company recorded $0.1 million, associated with shares issued with repurchase rights in other long-term liabilities.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The Company recognized stock-based compensation expense of $0.1 million in research and development expense and $0.3 million in general and administrative expense for the year ended December 31, 2020. The Company did not grant any stock options during the year ended December 31, 2019.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issued during 2020 were as follows:</w:t>
      </w:r>
    </w:p>
    <w:p>
      <w:pPr>
        <w:spacing w:after="0" w:line="176"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4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200" w:type="dxa"/>
            <w:vAlign w:val="bottom"/>
            <w:gridSpan w:val="3"/>
            <w:shd w:val="clear" w:color="auto" w:fill="CCEEFF"/>
          </w:tcPr>
          <w:p>
            <w:pPr>
              <w:jc w:val="center"/>
              <w:ind w:left="2270"/>
              <w:spacing w:after="0"/>
              <w:rPr>
                <w:sz w:val="20"/>
                <w:szCs w:val="20"/>
                <w:color w:val="auto"/>
              </w:rPr>
            </w:pPr>
            <w:r>
              <w:rPr>
                <w:rFonts w:ascii="Arial" w:cs="Arial" w:eastAsia="Arial" w:hAnsi="Arial"/>
                <w:sz w:val="18"/>
                <w:szCs w:val="18"/>
                <w:color w:val="auto"/>
                <w:w w:val="88"/>
              </w:rPr>
              <w:t>$1.58</w:t>
            </w:r>
          </w:p>
        </w:tc>
        <w:tc>
          <w:tcPr>
            <w:tcW w:w="2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- 1.5%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2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440" w:type="dxa"/>
            <w:vAlign w:val="bottom"/>
            <w:gridSpan w:val="4"/>
          </w:tcPr>
          <w:p>
            <w:pPr>
              <w:jc w:val="center"/>
              <w:ind w:left="2030"/>
              <w:spacing w:after="0"/>
              <w:rPr>
                <w:sz w:val="20"/>
                <w:szCs w:val="20"/>
                <w:color w:val="auto"/>
              </w:rPr>
            </w:pPr>
            <w:r>
              <w:rPr>
                <w:rFonts w:ascii="Arial" w:cs="Arial" w:eastAsia="Arial" w:hAnsi="Arial"/>
                <w:sz w:val="18"/>
                <w:szCs w:val="18"/>
                <w:color w:val="auto"/>
                <w:w w:val="90"/>
              </w:rPr>
              <w:t>92.9 - 97.7%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3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As of December 31, 2020, the unrecognized compensation cost related to outstanding employee and nonemployee options was $0.6 million and is expected to be recognized as expense over approximately 3.5 years.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2020, the Company granted 39,603 shares of employee and nonemployee performance options. The options vesting is contingent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achievement of a development candidate and also include a service condition of four years from the achievement of the performance condition.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determined the performance condition was probable of achievement and therefore, the Company recognized compensation expense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$16,000 for the year ended December 31, 2020. The unrecognized compensation costs related to outstanding performance options was $31,000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following is a reconciliation between the provision for income taxes and income taxes computed using the U.S. federal statutory corporate tax rate for the years ended December 31, 2019 and 2020 is as follows (in thousands):</w:t>
      </w:r>
    </w:p>
    <w:p>
      <w:pPr>
        <w:spacing w:after="0" w:line="176"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3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87"/>
              </w:rPr>
              <w:t>December 31,</w:t>
            </w:r>
          </w:p>
        </w:tc>
      </w:tr>
      <w:tr>
        <w:trPr>
          <w:trHeight w:val="20"/>
        </w:trPr>
        <w:tc>
          <w:tcPr>
            <w:tcW w:w="3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300" w:type="dxa"/>
            <w:vAlign w:val="bottom"/>
          </w:tcPr>
          <w:p>
            <w:pPr>
              <w:spacing w:after="0"/>
              <w:rPr>
                <w:sz w:val="12"/>
                <w:szCs w:val="12"/>
                <w:color w:val="auto"/>
              </w:rPr>
            </w:pPr>
          </w:p>
        </w:tc>
        <w:tc>
          <w:tcPr>
            <w:tcW w:w="3220" w:type="dxa"/>
            <w:vAlign w:val="bottom"/>
            <w:gridSpan w:val="2"/>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tax benefit at statutory rate</w:t>
            </w:r>
          </w:p>
        </w:tc>
        <w:tc>
          <w:tcPr>
            <w:tcW w:w="400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(853)</w:t>
            </w: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8"/>
              </w:rPr>
              <w:t>(1,960)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4000" w:type="dxa"/>
            <w:vAlign w:val="bottom"/>
            <w:gridSpan w:val="6"/>
          </w:tcPr>
          <w:p>
            <w:pPr>
              <w:jc w:val="right"/>
              <w:ind w:right="360"/>
              <w:spacing w:after="0"/>
              <w:rPr>
                <w:sz w:val="20"/>
                <w:szCs w:val="20"/>
                <w:color w:val="auto"/>
              </w:rPr>
            </w:pPr>
            <w:r>
              <w:rPr>
                <w:rFonts w:ascii="Arial" w:cs="Arial" w:eastAsia="Arial" w:hAnsi="Arial"/>
                <w:sz w:val="18"/>
                <w:szCs w:val="18"/>
                <w:color w:val="auto"/>
              </w:rPr>
              <w:t>(218)</w:t>
            </w: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and other</w:t>
            </w:r>
          </w:p>
        </w:tc>
        <w:tc>
          <w:tcPr>
            <w:tcW w:w="3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Research credits</w:t>
            </w:r>
          </w:p>
        </w:tc>
        <w:tc>
          <w:tcPr>
            <w:tcW w:w="4000" w:type="dxa"/>
            <w:vAlign w:val="bottom"/>
            <w:gridSpan w:val="6"/>
          </w:tcPr>
          <w:p>
            <w:pPr>
              <w:jc w:val="right"/>
              <w:ind w:right="360"/>
              <w:spacing w:after="0"/>
              <w:rPr>
                <w:sz w:val="20"/>
                <w:szCs w:val="20"/>
                <w:color w:val="auto"/>
              </w:rPr>
            </w:pPr>
            <w:r>
              <w:rPr>
                <w:rFonts w:ascii="Arial" w:cs="Arial" w:eastAsia="Arial" w:hAnsi="Arial"/>
                <w:sz w:val="18"/>
                <w:szCs w:val="18"/>
                <w:color w:val="auto"/>
              </w:rPr>
              <w:t>(57)</w:t>
            </w: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8"/>
                <w:szCs w:val="18"/>
                <w:color w:val="auto"/>
              </w:rPr>
            </w:pPr>
          </w:p>
        </w:tc>
      </w:tr>
      <w:tr>
        <w:trPr>
          <w:trHeight w:val="223"/>
        </w:trPr>
        <w:tc>
          <w:tcPr>
            <w:tcW w:w="33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Borders>
              <w:bottom w:val="single" w:sz="8" w:color="auto"/>
            </w:tcBorders>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300" w:type="dxa"/>
            <w:vAlign w:val="bottom"/>
          </w:tcPr>
          <w:p>
            <w:pPr>
              <w:spacing w:after="0"/>
              <w:rPr>
                <w:sz w:val="24"/>
                <w:szCs w:val="24"/>
                <w:color w:val="auto"/>
              </w:rPr>
            </w:pPr>
          </w:p>
        </w:tc>
        <w:tc>
          <w:tcPr>
            <w:tcW w:w="4000" w:type="dxa"/>
            <w:vAlign w:val="bottom"/>
            <w:gridSpan w:val="6"/>
          </w:tcPr>
          <w:p>
            <w:pPr>
              <w:jc w:val="right"/>
              <w:ind w:right="316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2020 are as follows (in thousands):</w:t>
      </w:r>
    </w:p>
    <w:p>
      <w:pPr>
        <w:spacing w:after="0" w:line="22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2019</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943</w:t>
            </w:r>
          </w:p>
        </w:tc>
        <w:tc>
          <w:tcPr>
            <w:tcW w:w="42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Others, net</w:t>
            </w: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gridSpan w:val="5"/>
          </w:tcPr>
          <w:p>
            <w:pPr>
              <w:jc w:val="right"/>
              <w:ind w:right="360"/>
              <w:spacing w:after="0"/>
              <w:rPr>
                <w:sz w:val="20"/>
                <w:szCs w:val="20"/>
                <w:color w:val="auto"/>
              </w:rPr>
            </w:pPr>
            <w:r>
              <w:rPr>
                <w:rFonts w:ascii="Arial" w:cs="Arial" w:eastAsia="Arial" w:hAnsi="Arial"/>
                <w:sz w:val="18"/>
                <w:szCs w:val="18"/>
                <w:color w:val="auto"/>
                <w:w w:val="98"/>
              </w:rPr>
              <w:t>(1,057)</w:t>
            </w:r>
          </w:p>
        </w:tc>
        <w:tc>
          <w:tcPr>
            <w:tcW w:w="66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9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6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Right of use assets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5"/>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9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6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Net deferred tax assets / (liabilities)</w:t>
            </w:r>
          </w:p>
        </w:tc>
        <w:tc>
          <w:tcPr>
            <w:tcW w:w="1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assets are realizable, the valuation allowance will be reduced. The Company has recorded a full valuation allowance of $3.0 million as of December 31, 2020 as management cannot conclude that it is more likely than not that certain deferred tax assets will be realized primarily due to the history of losses from inception. The Company increased its valuation allowance by approximately $1.9 million during the year ended December 31, 2020.</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At December 31, 2020, the Company had federal and state tax loss carry forwards of approximately $11.7 million and $3.7 million, respectively. As a result of the Tax Cuts and Jobs Act of 2017, for U.S. income tax purposes, net operating losses generated after December 31, 2017 can be carried forward indefinitely, but are limited to 80% utilization against future taxable income after January 1, 2021. Of the amount of federal net operating loss carryforwards, $11.7 million can be carried forward indefinitely. Unless previously utilized, the state net operating losses will begin to expire in 2038.</w:t>
      </w:r>
    </w:p>
    <w:p>
      <w:pPr>
        <w:spacing w:after="0" w:line="188"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At December 31, 2020, the Company has federal and California research and development tax credits of $0.1 million and $0.2 million, respectively. The federal research and development tax credits begin to expire in 2038 unless previously utilized. The California research and development tax credits carry forward indefinitely.</w:t>
      </w:r>
    </w:p>
    <w:p>
      <w:pPr>
        <w:spacing w:after="0" w:line="184"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Pursuant to the Internal Revenue Code (IRC) Sections 382 and 383, annual use of the Company’s NOL and research and development credit carryforwards may be limited in the event a cumulative change in ownership of more than 50% occurs within a three-year period. The Company has not completed an ownership change analysis pursuant to IRC Section 382. If ownership changes have occurred or occurs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w:t>
      </w:r>
    </w:p>
    <w:p>
      <w:pPr>
        <w:spacing w:after="0" w:line="16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by tax authorities.</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The following table summarizes the changes to the Company’s gross unrecognized tax benefits for the years ended December 31, 2019 and 2020, respectively (in thousands):</w:t>
      </w:r>
    </w:p>
    <w:p>
      <w:pPr>
        <w:spacing w:after="0" w:line="18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Year Ended</w:t>
      </w:r>
    </w:p>
    <w:p>
      <w:pPr>
        <w:jc w:val="center"/>
        <w:ind w:left="6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1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120" w:type="dxa"/>
            <w:vAlign w:val="bottom"/>
            <w:gridSpan w:val="4"/>
          </w:tcPr>
          <w:p>
            <w:pPr>
              <w:jc w:val="right"/>
              <w:spacing w:after="0" w:line="122" w:lineRule="exact"/>
              <w:rPr>
                <w:sz w:val="20"/>
                <w:szCs w:val="20"/>
                <w:color w:val="auto"/>
              </w:rPr>
            </w:pPr>
            <w:r>
              <w:rPr>
                <w:rFonts w:ascii="Arial" w:cs="Arial" w:eastAsia="Arial" w:hAnsi="Arial"/>
                <w:sz w:val="14"/>
                <w:szCs w:val="14"/>
                <w:b w:val="1"/>
                <w:bCs w:val="1"/>
                <w:color w:val="auto"/>
              </w:rPr>
              <w:t>2019</w:t>
            </w:r>
          </w:p>
        </w:tc>
        <w:tc>
          <w:tcPr>
            <w:tcW w:w="900" w:type="dxa"/>
            <w:vAlign w:val="bottom"/>
            <w:gridSpan w:val="5"/>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w:t>
            </w:r>
          </w:p>
        </w:tc>
        <w:tc>
          <w:tcPr>
            <w:tcW w:w="2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Additions related to current year positions</w:t>
            </w:r>
          </w:p>
        </w:tc>
        <w:tc>
          <w:tcPr>
            <w:tcW w:w="18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w:t>
            </w:r>
          </w:p>
        </w:tc>
        <w:tc>
          <w:tcPr>
            <w:tcW w:w="2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Due to the existence of the valuation allowance, future recognition of previously unrecognized tax benefits will not impact the Company’s effective tax rate. The Company is subject to taxation in the United States and various state jurisdictions. All of the Company’s tax years from inception are subject to examination by federal and state tax authorities. The Company’s practice is to recognize interest and penalties related to income tax matters in income tax expense.</w:t>
      </w:r>
    </w:p>
    <w:p>
      <w:pPr>
        <w:spacing w:after="0" w:line="187"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Company had no accrued interest or penalties related to income tax matters in the Company’s balance sheet as of December 31, 2020 and has not recognized interest or penalties in the Company’s Statements of Operations and Comprehensive Loss for the year ended December 31, 2020. Further, the Company is not currently under examination by any federal, state or local tax authority.</w:t>
      </w:r>
    </w:p>
    <w:p>
      <w:pPr>
        <w:spacing w:after="0" w:line="16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CARES Act provides sweeping tax changes in response to the COVID-19 pandemic. Some of the more significant provisions are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As of December 31, 2020, the Company has not recorded any material adjustments to its income tax provision related to the provisions within the CARES Act. The Company will continue to analyze the impact that the CARES Act will have, if any, on its financial position, results of operations or cash flows.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of December 31, 2020, the Company had operating leases for office and lab space in Carlsbad, California and a finance lease for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equipment.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presents the balances for operating and finance leases ROU assets and lease liabilities (in thousands):</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As of</w:t>
      </w:r>
    </w:p>
    <w:p>
      <w:pPr>
        <w:jc w:val="center"/>
        <w:ind w:left="6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1660" w:type="dxa"/>
        <w:tblCellMar>
          <w:top w:w="0" w:type="dxa"/>
          <w:left w:w="0" w:type="dxa"/>
          <w:bottom w:w="0" w:type="dxa"/>
          <w:right w:w="0" w:type="dxa"/>
        </w:tblCellMar>
      </w:tblP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2"/>
        </w:trPr>
        <w:tc>
          <w:tcPr>
            <w:tcW w:w="6620" w:type="dxa"/>
            <w:vAlign w:val="bottom"/>
          </w:tcPr>
          <w:p>
            <w:pPr>
              <w:spacing w:after="0"/>
              <w:rPr>
                <w:sz w:val="10"/>
                <w:szCs w:val="10"/>
                <w:color w:val="auto"/>
              </w:rPr>
            </w:pPr>
          </w:p>
        </w:tc>
        <w:tc>
          <w:tcPr>
            <w:tcW w:w="320" w:type="dxa"/>
            <w:vAlign w:val="bottom"/>
            <w:gridSpan w:val="4"/>
          </w:tcPr>
          <w:p>
            <w:pPr>
              <w:jc w:val="right"/>
              <w:spacing w:after="0" w:line="12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0"/>
                <w:szCs w:val="10"/>
                <w:color w:val="auto"/>
              </w:rPr>
            </w:pPr>
          </w:p>
        </w:tc>
        <w:tc>
          <w:tcPr>
            <w:tcW w:w="860" w:type="dxa"/>
            <w:vAlign w:val="bottom"/>
            <w:gridSpan w:val="4"/>
          </w:tcPr>
          <w:p>
            <w:pPr>
              <w:jc w:val="center"/>
              <w:ind w:left="474"/>
              <w:spacing w:after="0" w:line="12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w w:val="84"/>
              </w:rPr>
              <w:t>$226</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assets</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lease assets</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256</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169</w:t>
            </w:r>
          </w:p>
        </w:tc>
        <w:tc>
          <w:tcPr>
            <w:tcW w:w="6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w w:val="84"/>
              </w:rPr>
              <w:t>$122</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Finance lease liabilities, current</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17</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noncurrent</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253</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142</w:t>
            </w:r>
          </w:p>
        </w:tc>
        <w:tc>
          <w:tcPr>
            <w:tcW w:w="6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As of December 31, 2020, the Company paid cash security deposits totaling $17,000, of which all is refundable in November 2021 and is included in prepaids and other current assets in the Company’s balance sheet.</w:t>
      </w:r>
    </w:p>
    <w:p>
      <w:pPr>
        <w:spacing w:after="0" w:line="17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components of lease expense include operating and finance lease costs. For the years ended December 31, 2019 and 2020, operating lease costs were $0.1 million and $0.2 million, respectively. For the years ended December 31, 2019 and 2020, finance lease costs consisted of $4,000 and $9,000 in amortization and $1,000 and $1,000 of interest expense, respectively. Amortization is recorded in research and development expenses and interest expense is recorded in other expenses in the Statements of Operations and Comprehensive Loss.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Maturities of lease liabilities, weighted-average remaining term and weighted-average discount rate were as follows (in thousands):</w:t>
      </w:r>
    </w:p>
    <w:p>
      <w:pPr>
        <w:spacing w:after="0" w:line="255"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As of</w:t>
      </w:r>
    </w:p>
    <w:p>
      <w:pPr>
        <w:jc w:val="center"/>
        <w:ind w:left="5740"/>
        <w:spacing w:after="0" w:line="236" w:lineRule="auto"/>
        <w:rPr>
          <w:sz w:val="20"/>
          <w:szCs w:val="20"/>
          <w:color w:val="auto"/>
        </w:rPr>
      </w:pPr>
      <w:r>
        <w:rPr>
          <w:rFonts w:ascii="Arial" w:cs="Arial" w:eastAsia="Arial" w:hAnsi="Arial"/>
          <w:sz w:val="14"/>
          <w:szCs w:val="14"/>
          <w:b w:val="1"/>
          <w:bCs w:val="1"/>
          <w:color w:val="auto"/>
        </w:rPr>
        <w:t>December 31, 2020</w:t>
      </w:r>
    </w:p>
    <w:tbl>
      <w:tblPr>
        <w:tblLayout w:type="fixed"/>
        <w:tblInd w:w="1660" w:type="dxa"/>
        <w:tblCellMar>
          <w:top w:w="0" w:type="dxa"/>
          <w:left w:w="0" w:type="dxa"/>
          <w:bottom w:w="0" w:type="dxa"/>
          <w:right w:w="0" w:type="dxa"/>
        </w:tblCellMar>
      </w:tblPr>
      <w:tr>
        <w:trPr>
          <w:trHeight w:val="40"/>
        </w:trPr>
        <w:tc>
          <w:tcPr>
            <w:tcW w:w="33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20" w:type="dxa"/>
            <w:vAlign w:val="bottom"/>
            <w:gridSpan w:val="2"/>
            <w:vMerge w:val="restart"/>
          </w:tcPr>
          <w:p>
            <w:pPr>
              <w:jc w:val="right"/>
              <w:ind w:right="120"/>
              <w:spacing w:after="0" w:line="140" w:lineRule="exact"/>
              <w:rPr>
                <w:sz w:val="20"/>
                <w:szCs w:val="20"/>
                <w:color w:val="auto"/>
              </w:rPr>
            </w:pPr>
            <w:r>
              <w:rPr>
                <w:rFonts w:ascii="Arial" w:cs="Arial" w:eastAsia="Arial" w:hAnsi="Arial"/>
                <w:sz w:val="14"/>
                <w:szCs w:val="14"/>
                <w:b w:val="1"/>
                <w:bCs w:val="1"/>
                <w:color w:val="auto"/>
                <w:w w:val="71"/>
              </w:rPr>
              <w:t>Finance</w:t>
            </w:r>
          </w:p>
        </w:tc>
        <w:tc>
          <w:tcPr>
            <w:tcW w:w="0" w:type="dxa"/>
            <w:vAlign w:val="bottom"/>
          </w:tcPr>
          <w:p>
            <w:pPr>
              <w:spacing w:after="0"/>
              <w:rPr>
                <w:sz w:val="1"/>
                <w:szCs w:val="1"/>
                <w:color w:val="auto"/>
              </w:rPr>
            </w:pPr>
          </w:p>
        </w:tc>
      </w:tr>
      <w:tr>
        <w:trPr>
          <w:trHeight w:val="99"/>
        </w:trPr>
        <w:tc>
          <w:tcPr>
            <w:tcW w:w="3300" w:type="dxa"/>
            <w:vAlign w:val="bottom"/>
          </w:tcPr>
          <w:p>
            <w:pPr>
              <w:spacing w:after="0"/>
              <w:rPr>
                <w:sz w:val="8"/>
                <w:szCs w:val="8"/>
                <w:color w:val="auto"/>
              </w:rPr>
            </w:pPr>
          </w:p>
        </w:tc>
        <w:tc>
          <w:tcPr>
            <w:tcW w:w="3640" w:type="dxa"/>
            <w:vAlign w:val="bottom"/>
            <w:gridSpan w:val="5"/>
          </w:tcPr>
          <w:p>
            <w:pPr>
              <w:ind w:left="2560"/>
              <w:spacing w:after="0" w:line="100" w:lineRule="exact"/>
              <w:rPr>
                <w:sz w:val="20"/>
                <w:szCs w:val="20"/>
                <w:color w:val="auto"/>
              </w:rPr>
            </w:pPr>
            <w:r>
              <w:rPr>
                <w:rFonts w:ascii="Arial" w:cs="Arial" w:eastAsia="Arial" w:hAnsi="Arial"/>
                <w:sz w:val="11"/>
                <w:szCs w:val="11"/>
                <w:b w:val="1"/>
                <w:bCs w:val="1"/>
                <w:color w:val="auto"/>
              </w:rPr>
              <w:t>Operating</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Lease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2021</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137</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2024</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w w:val="86"/>
              </w:rPr>
              <w:t>137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2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w w:val="86"/>
              </w:rPr>
              <w:t>133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lease liabilities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Lease liabilities, noncurrent</w:t>
            </w:r>
          </w:p>
        </w:tc>
        <w:tc>
          <w:tcPr>
            <w:tcW w:w="2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00" w:type="dxa"/>
            <w:vAlign w:val="bottom"/>
          </w:tcPr>
          <w:p>
            <w:pPr>
              <w:spacing w:after="0"/>
              <w:rPr>
                <w:sz w:val="24"/>
                <w:szCs w:val="24"/>
                <w:color w:val="auto"/>
              </w:rPr>
            </w:pPr>
          </w:p>
        </w:tc>
        <w:tc>
          <w:tcPr>
            <w:tcW w:w="2660" w:type="dxa"/>
            <w:vAlign w:val="bottom"/>
            <w:gridSpan w:val="2"/>
          </w:tcPr>
          <w:p>
            <w:pPr>
              <w:ind w:left="500"/>
              <w:spacing w:after="0"/>
              <w:rPr>
                <w:sz w:val="20"/>
                <w:szCs w:val="20"/>
                <w:color w:val="auto"/>
              </w:rPr>
            </w:pPr>
            <w:r>
              <w:rPr>
                <w:rFonts w:ascii="Arial" w:cs="Arial" w:eastAsia="Arial" w:hAnsi="Arial"/>
                <w:sz w:val="18"/>
                <w:szCs w:val="18"/>
                <w:color w:val="auto"/>
              </w:rPr>
              <w:t>F-23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As of</w:t>
      </w:r>
    </w:p>
    <w:p>
      <w:pPr>
        <w:jc w:val="center"/>
        <w:ind w:left="618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1660" w:type="dxa"/>
        <w:tblCellMar>
          <w:top w:w="0" w:type="dxa"/>
          <w:left w:w="0" w:type="dxa"/>
          <w:bottom w:w="0" w:type="dxa"/>
          <w:right w:w="0" w:type="dxa"/>
        </w:tblCellMar>
      </w:tblPr>
      <w:tr>
        <w:trPr>
          <w:trHeight w:val="20"/>
        </w:trPr>
        <w:tc>
          <w:tcPr>
            <w:tcW w:w="5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2"/>
        </w:trPr>
        <w:tc>
          <w:tcPr>
            <w:tcW w:w="5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0"/>
                <w:szCs w:val="10"/>
                <w:color w:val="auto"/>
              </w:rPr>
            </w:pPr>
          </w:p>
        </w:tc>
        <w:tc>
          <w:tcPr>
            <w:tcW w:w="52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0"/>
                <w:szCs w:val="10"/>
                <w:color w:val="auto"/>
              </w:rPr>
            </w:pPr>
          </w:p>
        </w:tc>
      </w:tr>
      <w:tr>
        <w:trPr>
          <w:trHeight w:val="20"/>
        </w:trPr>
        <w:tc>
          <w:tcPr>
            <w:tcW w:w="5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(years)—operating leases</w:t>
            </w:r>
          </w:p>
        </w:tc>
        <w:tc>
          <w:tcPr>
            <w:tcW w:w="8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Weighted-average remaining lease term (years)—finance lease</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1.5</w:t>
            </w:r>
          </w:p>
        </w:tc>
        <w:tc>
          <w:tcPr>
            <w:tcW w:w="780" w:type="dxa"/>
            <w:vAlign w:val="bottom"/>
            <w:gridSpan w:val="4"/>
          </w:tcPr>
          <w:p>
            <w:pPr>
              <w:jc w:val="right"/>
              <w:ind w:right="220"/>
              <w:spacing w:after="0"/>
              <w:rPr>
                <w:sz w:val="20"/>
                <w:szCs w:val="20"/>
                <w:color w:val="auto"/>
              </w:rPr>
            </w:pPr>
            <w:r>
              <w:rPr>
                <w:rFonts w:ascii="Arial" w:cs="Arial" w:eastAsia="Arial" w:hAnsi="Arial"/>
                <w:sz w:val="18"/>
                <w:szCs w:val="18"/>
                <w:color w:val="auto"/>
              </w:rPr>
              <w:t>0.6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incremental borrowing rate—operating leases</w:t>
            </w:r>
          </w:p>
        </w:tc>
        <w:tc>
          <w:tcPr>
            <w:tcW w:w="15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Weighted-average incremental borrowing rate—finance lease</w:t>
            </w:r>
          </w:p>
        </w:tc>
        <w:tc>
          <w:tcPr>
            <w:tcW w:w="1560" w:type="dxa"/>
            <w:vAlign w:val="bottom"/>
            <w:gridSpan w:val="4"/>
          </w:tcPr>
          <w:p>
            <w:pPr>
              <w:jc w:val="right"/>
              <w:ind w:right="240"/>
              <w:spacing w:after="0"/>
              <w:rPr>
                <w:sz w:val="20"/>
                <w:szCs w:val="20"/>
                <w:color w:val="auto"/>
              </w:rPr>
            </w:pPr>
            <w:r>
              <w:rPr>
                <w:rFonts w:ascii="Arial" w:cs="Arial" w:eastAsia="Arial" w:hAnsi="Arial"/>
                <w:sz w:val="18"/>
                <w:szCs w:val="18"/>
                <w:color w:val="auto"/>
              </w:rPr>
              <w:t>7.50%</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7.50%</w:t>
            </w:r>
          </w:p>
        </w:tc>
      </w:tr>
    </w:tbl>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For the year ended December 31, 2019 and 2020, operating cash flows included $0.1 million and $0.2 million of cash paid for amounts included in the measurement of operating lease liabilities, respectively, and $1,000 and $1,000 of cash paid for amounts included in the measurement of finance lease liabilities, respectively. For the year ended December 31, 2019 and 2020, financing cash flows included $8,000 and $17,000 of cash paid for amounts included in the measurement of finance lease liabilities, respectively.</w:t>
      </w:r>
    </w:p>
    <w:p>
      <w:pPr>
        <w:spacing w:after="0" w:line="187" w:lineRule="exact"/>
        <w:rPr>
          <w:sz w:val="20"/>
          <w:szCs w:val="20"/>
          <w:color w:val="auto"/>
        </w:rPr>
      </w:pPr>
    </w:p>
    <w:p>
      <w:pPr>
        <w:ind w:left="120" w:right="60" w:firstLine="881"/>
        <w:spacing w:after="0" w:line="285" w:lineRule="auto"/>
        <w:rPr>
          <w:sz w:val="20"/>
          <w:szCs w:val="20"/>
          <w:color w:val="auto"/>
        </w:rPr>
      </w:pPr>
      <w:r>
        <w:rPr>
          <w:rFonts w:ascii="Arial" w:cs="Arial" w:eastAsia="Arial" w:hAnsi="Arial"/>
          <w:sz w:val="16"/>
          <w:szCs w:val="16"/>
          <w:color w:val="auto"/>
        </w:rPr>
        <w:t>In August 2020, the Company entered into an operating lease for office and lab space in Carlsbad, California (the “New Lease”). The Company paid a cash security deposit of $21,000, of which all is refundable at the end of the lease term and is included in long-term assets in the Company’s balance sheet as of December 31, 2020. Additionally, as part of the terms of the lease agreement, the Company is required to maintain a letter of credit of $0.2 million which must remain in place until 2023 at the earliest and is considered a non-current asset as of December 31, 2020. The New Lease is expected to commence in the second quarter of 2021 and projected lease payments over the life of the lease are expected to be</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$1.5 million, with a lease expiration of 60 months from lease commencement as defined in the lease agreement. The Company has the option to renew the lease for two additional thirty-six-month periods.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License Agreement</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In May 2019, the Company entered into a license agreement (the “License Agreement”) with Emory University (“Emory”). Under the License Agreement, the Company licensed the exclusive, royalty-bearing, sublicensable, rights to certain know-how, patents, and patent applications to pursue the development and commercialization of certain inventions and technology for the treatment of disease. As consideration of the license, the Company agreed to pay an upfront fee of $0.1 million, which the Company immediately expensed as research and development expense in the Statements of Operations and Comprehensive Loss as there was no alternative future use for the license. Under the License Agreement, the Company agreed to make future development and regulatory milestone payments of up to $0.2 million, commercial milestone payments of up to $0.2 million and sales milestone payments of up to $0.5 million. The Company also agreed to pay 1.75% of the net selling price of all royalty-bearing products that are covered by an issued patent included in the License Agreement. As of December 31, 2020, no milestones had been accrued as there were no potential milestones yet considered probable.</w:t>
      </w:r>
    </w:p>
    <w:p>
      <w:pPr>
        <w:spacing w:after="0" w:line="181" w:lineRule="exact"/>
        <w:rPr>
          <w:sz w:val="20"/>
          <w:szCs w:val="20"/>
          <w:color w:val="auto"/>
        </w:rPr>
      </w:pPr>
    </w:p>
    <w:p>
      <w:pPr>
        <w:ind w:left="120" w:right="300" w:firstLine="881"/>
        <w:spacing w:after="0" w:line="311" w:lineRule="auto"/>
        <w:rPr>
          <w:sz w:val="20"/>
          <w:szCs w:val="20"/>
          <w:color w:val="auto"/>
        </w:rPr>
      </w:pPr>
      <w:r>
        <w:rPr>
          <w:rFonts w:ascii="Arial" w:cs="Arial" w:eastAsia="Arial" w:hAnsi="Arial"/>
          <w:sz w:val="16"/>
          <w:szCs w:val="16"/>
          <w:color w:val="auto"/>
        </w:rPr>
        <w:t>Within the terms of the License Agreement, the Company may provide a 90-day written notice of termination. In February 2021, the Company provided notice to Emory of their decision to voluntarily terminate the License Agreement as the license was unrelated to the Company’s current technology and was no longer relevant to the Company’s product pipeline. The license agreement was effectively terminated in May 2021.</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Employee Benefits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offers a 401(k) plan (“401(k) Plan”) for all employees who have met certain eligibility requirements. Under the 401(k) Plan, employees may elect to contribute a portion of their eligible compensation, subject to certain limitations. The Company did not make any matching employer contributions to the 401(k) Plan as of and for the years ended December 31, 2019 and 2020.</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40"/>
          </w:cols>
          <w:pgMar w:left="320" w:top="459" w:right="5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purposes of the financial statements as of December 31, 2020 and the year then ended, the Company has evaluated the subsequent events through May 28, 2021, the date the audited annual financial statements were issued.</w:t>
      </w:r>
    </w:p>
    <w:p>
      <w:pPr>
        <w:spacing w:after="0" w:line="17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In March 2021, the Company issued 3,874,793 shares of Series B convertible preferred stock at a price of $27.4337 per share for gross proceeds of $106.3 million.</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Company entered into an agreement on March 18, 2021 to sublease office space in Carlsbad, California for general office use which commenced on March 22, 2021 and will expire on November 30, 2021.</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20"/>
          </w:cols>
          <w:pgMar w:left="320" w:top="459" w:right="6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par value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r>
      <w:tr>
        <w:trPr>
          <w:trHeight w:val="142"/>
        </w:trPr>
        <w:tc>
          <w:tcPr>
            <w:tcW w:w="79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15,224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140,638</w:t>
            </w: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r>
      <w:tr>
        <w:trPr>
          <w:trHeight w:val="27"/>
        </w:trPr>
        <w:tc>
          <w:tcPr>
            <w:tcW w:w="7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15,281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140,828</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243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Right-of-use asset</w:t>
            </w:r>
          </w:p>
        </w:tc>
        <w:tc>
          <w:tcPr>
            <w:tcW w:w="36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169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141,809</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w:t>
            </w: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Lease liabilities, current</w:t>
            </w:r>
          </w:p>
        </w:tc>
        <w:tc>
          <w:tcPr>
            <w:tcW w:w="36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stock, $0.0001 par value; 6,223,046 shares authorized at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and March 31, 2021 (unaudited), respectively; 3,374,560 and 6,223,046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at December 31, 2020 and March 31, 2021 (unaudited),</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$51,340 aggregate liquidation preference at March 31, 2021 (unaudited)</w:t>
            </w:r>
          </w:p>
        </w:tc>
        <w:tc>
          <w:tcPr>
            <w:tcW w:w="3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27,651</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51,146</w:t>
            </w: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rPr>
              <w:t>Series B convertible preferred stock, $0.0001 par value; 0 and 3,874,793 shares authorized at</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w w:val="99"/>
              </w:rPr>
              <w:t>December 31, 2020 and March 31, 2021 (unaudited), respectively; 0 and 3,874,793 shares issued</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and outstanding at December 31, 2020 and March 31, 2021 (unaudited), respectively; $106,300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aggregate liquidation preference at March 31, 2021 (unaudited)</w:t>
            </w:r>
          </w:p>
        </w:tc>
        <w:tc>
          <w:tcPr>
            <w:tcW w:w="36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106,128</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98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$0.0001 par value; 10,000,000 and 12,987,667 shares authorized at</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980" w:type="dxa"/>
            <w:vAlign w:val="bottom"/>
          </w:tcPr>
          <w:p>
            <w:pPr>
              <w:ind w:left="540"/>
              <w:spacing w:after="0"/>
              <w:rPr>
                <w:sz w:val="20"/>
                <w:szCs w:val="20"/>
                <w:color w:val="auto"/>
              </w:rPr>
            </w:pPr>
            <w:r>
              <w:rPr>
                <w:rFonts w:ascii="Arial" w:cs="Arial" w:eastAsia="Arial" w:hAnsi="Arial"/>
                <w:sz w:val="18"/>
                <w:szCs w:val="18"/>
                <w:color w:val="auto"/>
              </w:rPr>
              <w:t>December 31, 2020 and March 31, 2021 (unaudited), respectively; 1,174,554 and 1,510,292</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tcPr>
          <w:p>
            <w:pPr>
              <w:ind w:left="540"/>
              <w:spacing w:after="0"/>
              <w:rPr>
                <w:sz w:val="20"/>
                <w:szCs w:val="20"/>
                <w:color w:val="auto"/>
              </w:rPr>
            </w:pPr>
            <w:r>
              <w:rPr>
                <w:rFonts w:ascii="Arial" w:cs="Arial" w:eastAsia="Arial" w:hAnsi="Arial"/>
                <w:sz w:val="18"/>
                <w:szCs w:val="18"/>
                <w:color w:val="auto"/>
              </w:rPr>
              <w:t>shares issued at December 31, 2020 and March 31, 2021 (unaudited), respectively and</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tcPr>
          <w:p>
            <w:pPr>
              <w:ind w:left="540"/>
              <w:spacing w:after="0"/>
              <w:rPr>
                <w:sz w:val="20"/>
                <w:szCs w:val="20"/>
                <w:color w:val="auto"/>
              </w:rPr>
            </w:pPr>
            <w:r>
              <w:rPr>
                <w:rFonts w:ascii="Arial" w:cs="Arial" w:eastAsia="Arial" w:hAnsi="Arial"/>
                <w:sz w:val="18"/>
                <w:szCs w:val="18"/>
                <w:color w:val="auto"/>
              </w:rPr>
              <w:t>704,312 and 848,960 shares outstanding at December 31, 2020 and March 31, 2021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(unaudited); respectively</w:t>
            </w:r>
          </w:p>
        </w:tc>
        <w:tc>
          <w:tcPr>
            <w:tcW w:w="36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(14,077)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(18,286)</w:t>
            </w:r>
          </w:p>
        </w:tc>
      </w:tr>
      <w:tr>
        <w:trPr>
          <w:trHeight w:val="27"/>
        </w:trPr>
        <w:tc>
          <w:tcPr>
            <w:tcW w:w="7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(13,638)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(17,522)</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141,809</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9"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7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2020</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341"/>
              <w:spacing w:after="0"/>
              <w:rPr>
                <w:sz w:val="20"/>
                <w:szCs w:val="20"/>
                <w:color w:val="auto"/>
              </w:rPr>
            </w:pPr>
            <w:r>
              <w:rPr>
                <w:rFonts w:ascii="Arial" w:cs="Arial" w:eastAsia="Arial" w:hAnsi="Arial"/>
                <w:sz w:val="18"/>
                <w:szCs w:val="18"/>
                <w:color w:val="auto"/>
              </w:rPr>
              <w:t>993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5"/>
          </w:tcPr>
          <w:p>
            <w:pPr>
              <w:jc w:val="right"/>
              <w:ind w:right="41"/>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41"/>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1,456</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81"/>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Other (expense) income: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Change in fair value of simple agreement for future equity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28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8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Total other (expense) income</w:t>
            </w:r>
          </w:p>
        </w:tc>
        <w:tc>
          <w:tcPr>
            <w:tcW w:w="1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5"/>
            <w:shd w:val="clear" w:color="auto" w:fill="CCEEFF"/>
          </w:tcPr>
          <w:p>
            <w:pPr>
              <w:jc w:val="right"/>
              <w:ind w:right="281"/>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(2.77</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41"/>
              <w:spacing w:after="0"/>
              <w:rPr>
                <w:sz w:val="20"/>
                <w:szCs w:val="20"/>
                <w:color w:val="auto"/>
              </w:rPr>
            </w:pPr>
            <w:r>
              <w:rPr>
                <w:rFonts w:ascii="Arial" w:cs="Arial" w:eastAsia="Arial" w:hAnsi="Arial"/>
                <w:sz w:val="18"/>
                <w:szCs w:val="18"/>
                <w:color w:val="auto"/>
                <w:w w:val="89"/>
              </w:rPr>
              <w:t>531,832</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w w:val="86"/>
              </w:rPr>
              <w:t>773,611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amounts)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5"/>
          </w:tcPr>
          <w:p>
            <w:pPr>
              <w:ind w:left="200"/>
              <w:spacing w:after="0"/>
              <w:rPr>
                <w:sz w:val="20"/>
                <w:szCs w:val="20"/>
                <w:color w:val="auto"/>
              </w:rPr>
            </w:pPr>
            <w:r>
              <w:rPr>
                <w:rFonts w:ascii="Arial" w:cs="Arial" w:eastAsia="Arial" w:hAnsi="Arial"/>
                <w:sz w:val="13"/>
                <w:szCs w:val="13"/>
                <w:b w:val="1"/>
                <w:bCs w:val="1"/>
                <w:color w:val="auto"/>
                <w:w w:val="80"/>
              </w:rPr>
              <w:t>Series A</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Borders>
              <w:right w:val="single" w:sz="8" w:color="auto"/>
            </w:tcBorders>
            <w:gridSpan w:val="9"/>
          </w:tcPr>
          <w:p>
            <w:pPr>
              <w:ind w:left="220"/>
              <w:spacing w:after="0"/>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9"/>
          </w:tcPr>
          <w:p>
            <w:pPr>
              <w:ind w:left="100"/>
              <w:spacing w:after="0" w:line="140" w:lineRule="exact"/>
              <w:rPr>
                <w:sz w:val="20"/>
                <w:szCs w:val="20"/>
                <w:color w:val="auto"/>
              </w:rPr>
            </w:pPr>
            <w:r>
              <w:rPr>
                <w:rFonts w:ascii="Arial" w:cs="Arial" w:eastAsia="Arial" w:hAnsi="Arial"/>
                <w:sz w:val="13"/>
                <w:szCs w:val="13"/>
                <w:b w:val="1"/>
                <w:bCs w:val="1"/>
                <w:color w:val="auto"/>
              </w:rPr>
              <w:t>Convertible</w:t>
            </w:r>
          </w:p>
        </w:tc>
        <w:tc>
          <w:tcPr>
            <w:tcW w:w="200" w:type="dxa"/>
            <w:vAlign w:val="bottom"/>
          </w:tcPr>
          <w:p>
            <w:pPr>
              <w:spacing w:after="0"/>
              <w:rPr>
                <w:sz w:val="12"/>
                <w:szCs w:val="12"/>
                <w:color w:val="auto"/>
              </w:rPr>
            </w:pPr>
          </w:p>
        </w:tc>
        <w:tc>
          <w:tcPr>
            <w:tcW w:w="1180" w:type="dxa"/>
            <w:vAlign w:val="bottom"/>
            <w:tcBorders>
              <w:right w:val="single" w:sz="8" w:color="auto"/>
            </w:tcBorders>
            <w:gridSpan w:val="9"/>
          </w:tcPr>
          <w:p>
            <w:pPr>
              <w:ind w:left="120"/>
              <w:spacing w:after="0" w:line="140" w:lineRule="exact"/>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right"/>
              <w:ind w:right="299"/>
              <w:spacing w:after="0" w:line="140" w:lineRule="exact"/>
              <w:rPr>
                <w:sz w:val="20"/>
                <w:szCs w:val="20"/>
                <w:color w:val="auto"/>
              </w:rPr>
            </w:pPr>
            <w:r>
              <w:rPr>
                <w:rFonts w:ascii="Arial" w:cs="Arial" w:eastAsia="Arial" w:hAnsi="Arial"/>
                <w:sz w:val="13"/>
                <w:szCs w:val="13"/>
                <w:b w:val="1"/>
                <w:bCs w:val="1"/>
                <w:color w:val="auto"/>
                <w:w w:val="96"/>
              </w:rPr>
              <w:t>Total</w:t>
            </w:r>
          </w:p>
        </w:tc>
      </w:tr>
      <w:tr>
        <w:trPr>
          <w:trHeight w:val="148"/>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6"/>
              </w:rPr>
              <w:t>Preferred Stock</w:t>
            </w:r>
          </w:p>
        </w:tc>
        <w:tc>
          <w:tcPr>
            <w:tcW w:w="34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6"/>
              </w:rPr>
              <w:t>Preferred Stock</w:t>
            </w:r>
          </w:p>
        </w:tc>
        <w:tc>
          <w:tcPr>
            <w:tcW w:w="320" w:type="dxa"/>
            <w:vAlign w:val="bottom"/>
            <w:tcBorders>
              <w:right w:val="single" w:sz="8" w:color="auto"/>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3"/>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w:t>
            </w:r>
          </w:p>
        </w:tc>
        <w:tc>
          <w:tcPr>
            <w:tcW w:w="920" w:type="dxa"/>
            <w:vAlign w:val="bottom"/>
            <w:gridSpan w:val="4"/>
          </w:tcPr>
          <w:p>
            <w:pPr>
              <w:spacing w:after="0"/>
              <w:rPr>
                <w:sz w:val="20"/>
                <w:szCs w:val="20"/>
                <w:color w:val="auto"/>
              </w:rPr>
            </w:pPr>
            <w:r>
              <w:rPr>
                <w:rFonts w:ascii="Arial" w:cs="Arial" w:eastAsia="Arial" w:hAnsi="Arial"/>
                <w:sz w:val="13"/>
                <w:szCs w:val="13"/>
                <w:b w:val="1"/>
                <w:bCs w:val="1"/>
                <w:color w:val="auto"/>
              </w:rPr>
              <w:t>Accumulated</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w w:val="95"/>
              </w:rPr>
              <w:t>Stockholders’</w:t>
            </w:r>
          </w:p>
        </w:tc>
      </w:tr>
      <w:tr>
        <w:trPr>
          <w:trHeight w:val="128"/>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0"/>
                <w:szCs w:val="10"/>
                <w:b w:val="1"/>
                <w:bCs w:val="1"/>
                <w:color w:val="auto"/>
                <w:w w:val="83"/>
              </w:rPr>
              <w:t>Shares</w:t>
            </w:r>
          </w:p>
        </w:tc>
        <w:tc>
          <w:tcPr>
            <w:tcW w:w="260" w:type="dxa"/>
            <w:vAlign w:val="bottom"/>
            <w:gridSpan w:val="3"/>
          </w:tcPr>
          <w:p>
            <w:pPr>
              <w:spacing w:after="0"/>
              <w:rPr>
                <w:sz w:val="11"/>
                <w:szCs w:val="11"/>
                <w:color w:val="auto"/>
              </w:rPr>
            </w:pPr>
          </w:p>
        </w:tc>
        <w:tc>
          <w:tcPr>
            <w:tcW w:w="640" w:type="dxa"/>
            <w:vAlign w:val="bottom"/>
            <w:gridSpan w:val="5"/>
          </w:tcPr>
          <w:p>
            <w:pPr>
              <w:ind w:left="40"/>
              <w:spacing w:after="0" w:line="129" w:lineRule="exact"/>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1"/>
                <w:szCs w:val="11"/>
                <w:color w:val="auto"/>
              </w:rPr>
            </w:pPr>
          </w:p>
        </w:tc>
        <w:tc>
          <w:tcPr>
            <w:tcW w:w="460" w:type="dxa"/>
            <w:vAlign w:val="bottom"/>
            <w:gridSpan w:val="3"/>
          </w:tcPr>
          <w:p>
            <w:pPr>
              <w:jc w:val="center"/>
              <w:ind w:right="160"/>
              <w:spacing w:after="0" w:line="129" w:lineRule="exact"/>
              <w:rPr>
                <w:sz w:val="20"/>
                <w:szCs w:val="20"/>
                <w:color w:val="auto"/>
              </w:rPr>
            </w:pPr>
            <w:r>
              <w:rPr>
                <w:rFonts w:ascii="Arial" w:cs="Arial" w:eastAsia="Arial" w:hAnsi="Arial"/>
                <w:sz w:val="12"/>
                <w:szCs w:val="12"/>
                <w:b w:val="1"/>
                <w:bCs w:val="1"/>
                <w:color w:val="auto"/>
                <w:w w:val="74"/>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w w:val="77"/>
              </w:rPr>
              <w:t>Shares</w:t>
            </w:r>
          </w:p>
        </w:tc>
        <w:tc>
          <w:tcPr>
            <w:tcW w:w="8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1"/>
                <w:szCs w:val="11"/>
                <w:color w:val="auto"/>
              </w:rPr>
            </w:pPr>
          </w:p>
        </w:tc>
        <w:tc>
          <w:tcPr>
            <w:tcW w:w="980" w:type="dxa"/>
            <w:vAlign w:val="bottom"/>
            <w:gridSpan w:val="3"/>
          </w:tcPr>
          <w:p>
            <w:pPr>
              <w:jc w:val="right"/>
              <w:ind w:right="160"/>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80" w:type="dxa"/>
            <w:vAlign w:val="bottom"/>
          </w:tcPr>
          <w:p>
            <w:pPr>
              <w:spacing w:after="0"/>
              <w:rPr>
                <w:sz w:val="11"/>
                <w:szCs w:val="11"/>
                <w:color w:val="auto"/>
              </w:rPr>
            </w:pPr>
          </w:p>
        </w:tc>
        <w:tc>
          <w:tcPr>
            <w:tcW w:w="740" w:type="dxa"/>
            <w:vAlign w:val="bottom"/>
            <w:gridSpan w:val="3"/>
          </w:tcPr>
          <w:p>
            <w:pPr>
              <w:jc w:val="right"/>
              <w:ind w:right="339"/>
              <w:spacing w:after="0" w:line="129" w:lineRule="exact"/>
              <w:rPr>
                <w:sz w:val="20"/>
                <w:szCs w:val="20"/>
                <w:color w:val="auto"/>
              </w:rPr>
            </w:pPr>
            <w:r>
              <w:rPr>
                <w:rFonts w:ascii="Arial" w:cs="Arial" w:eastAsia="Arial" w:hAnsi="Arial"/>
                <w:sz w:val="13"/>
                <w:szCs w:val="13"/>
                <w:b w:val="1"/>
                <w:bCs w:val="1"/>
                <w:color w:val="auto"/>
                <w:w w:val="85"/>
              </w:rPr>
              <w:t>Deficit</w:t>
            </w:r>
          </w:p>
        </w:tc>
        <w:tc>
          <w:tcPr>
            <w:tcW w:w="180" w:type="dxa"/>
            <w:vAlign w:val="bottom"/>
          </w:tcPr>
          <w:p>
            <w:pPr>
              <w:spacing w:after="0"/>
              <w:rPr>
                <w:sz w:val="11"/>
                <w:szCs w:val="11"/>
                <w:color w:val="auto"/>
              </w:rPr>
            </w:pPr>
          </w:p>
        </w:tc>
        <w:tc>
          <w:tcPr>
            <w:tcW w:w="660" w:type="dxa"/>
            <w:vAlign w:val="bottom"/>
            <w:gridSpan w:val="3"/>
          </w:tcPr>
          <w:p>
            <w:pPr>
              <w:jc w:val="right"/>
              <w:ind w:right="259"/>
              <w:spacing w:after="0" w:line="129" w:lineRule="exact"/>
              <w:rPr>
                <w:sz w:val="20"/>
                <w:szCs w:val="20"/>
                <w:color w:val="auto"/>
              </w:rPr>
            </w:pPr>
            <w:r>
              <w:rPr>
                <w:rFonts w:ascii="Arial" w:cs="Arial" w:eastAsia="Arial" w:hAnsi="Arial"/>
                <w:sz w:val="13"/>
                <w:szCs w:val="13"/>
                <w:b w:val="1"/>
                <w:bCs w:val="1"/>
                <w:color w:val="auto"/>
                <w:w w:val="85"/>
              </w:rPr>
              <w:t>Deficit</w:t>
            </w:r>
          </w:p>
        </w:tc>
      </w:tr>
      <w:tr>
        <w:trPr>
          <w:trHeight w:val="20"/>
        </w:trPr>
        <w:tc>
          <w:tcPr>
            <w:tcW w:w="39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2019</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4"/>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4"/>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3"/>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gridSpan w:val="4"/>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5"/>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6"/>
              </w:rPr>
              <w:t>1,041,727</w:t>
            </w:r>
          </w:p>
        </w:tc>
        <w:tc>
          <w:tcPr>
            <w:tcW w:w="3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19"/>
              <w:spacing w:after="0" w:line="142" w:lineRule="exact"/>
              <w:rPr>
                <w:sz w:val="20"/>
                <w:szCs w:val="20"/>
                <w:color w:val="auto"/>
              </w:rPr>
            </w:pPr>
            <w:r>
              <w:rPr>
                <w:rFonts w:ascii="Arial" w:cs="Arial" w:eastAsia="Arial" w:hAnsi="Arial"/>
                <w:sz w:val="14"/>
                <w:szCs w:val="14"/>
                <w:color w:val="auto"/>
              </w:rPr>
              <w:t>(4,741)</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9"/>
              <w:spacing w:after="0" w:line="142" w:lineRule="exact"/>
              <w:rPr>
                <w:sz w:val="20"/>
                <w:szCs w:val="20"/>
                <w:color w:val="auto"/>
              </w:rPr>
            </w:pPr>
            <w:r>
              <w:rPr>
                <w:rFonts w:ascii="Arial" w:cs="Arial" w:eastAsia="Arial" w:hAnsi="Arial"/>
                <w:sz w:val="14"/>
                <w:szCs w:val="14"/>
                <w:color w:val="auto"/>
              </w:rPr>
              <w:t>(4,741)</w:t>
            </w:r>
          </w:p>
        </w:tc>
      </w:tr>
      <w:tr>
        <w:trPr>
          <w:trHeight w:val="130"/>
        </w:trPr>
        <w:tc>
          <w:tcPr>
            <w:tcW w:w="39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A convertible preferred stock upon conversion</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980" w:type="dxa"/>
            <w:vAlign w:val="bottom"/>
          </w:tcPr>
          <w:p>
            <w:pPr>
              <w:ind w:left="140"/>
              <w:spacing w:after="0"/>
              <w:rPr>
                <w:sz w:val="20"/>
                <w:szCs w:val="20"/>
                <w:color w:val="auto"/>
              </w:rPr>
            </w:pPr>
            <w:r>
              <w:rPr>
                <w:rFonts w:ascii="Arial" w:cs="Arial" w:eastAsia="Arial" w:hAnsi="Arial"/>
                <w:sz w:val="14"/>
                <w:szCs w:val="14"/>
                <w:color w:val="auto"/>
              </w:rPr>
              <w:t>of simple agreement for future equity</w:t>
            </w:r>
          </w:p>
        </w:tc>
        <w:tc>
          <w:tcPr>
            <w:tcW w:w="640" w:type="dxa"/>
            <w:vAlign w:val="bottom"/>
            <w:gridSpan w:val="4"/>
          </w:tcPr>
          <w:p>
            <w:pPr>
              <w:jc w:val="right"/>
              <w:ind w:right="20"/>
              <w:spacing w:after="0"/>
              <w:rPr>
                <w:sz w:val="20"/>
                <w:szCs w:val="20"/>
                <w:color w:val="auto"/>
              </w:rPr>
            </w:pPr>
            <w:r>
              <w:rPr>
                <w:rFonts w:ascii="Arial" w:cs="Arial" w:eastAsia="Arial" w:hAnsi="Arial"/>
                <w:sz w:val="14"/>
                <w:szCs w:val="14"/>
                <w:color w:val="auto"/>
              </w:rPr>
              <w:t>526,074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4"/>
                <w:szCs w:val="14"/>
                <w:color w:val="auto"/>
              </w:rPr>
              <w:t>4,340</w:t>
            </w:r>
          </w:p>
        </w:tc>
        <w:tc>
          <w:tcPr>
            <w:tcW w:w="200" w:type="dxa"/>
            <w:vAlign w:val="bottom"/>
          </w:tcPr>
          <w:p>
            <w:pPr>
              <w:spacing w:after="0"/>
              <w:rPr>
                <w:sz w:val="14"/>
                <w:szCs w:val="14"/>
                <w:color w:val="auto"/>
              </w:rPr>
            </w:pP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4"/>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gridSpan w:val="3"/>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r>
      <w:tr>
        <w:trPr>
          <w:trHeight w:val="130"/>
        </w:trPr>
        <w:tc>
          <w:tcPr>
            <w:tcW w:w="3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Issuance of Series A convertible preferred stock, net of issuance</w:t>
            </w:r>
          </w:p>
        </w:tc>
        <w:tc>
          <w:tcPr>
            <w:tcW w:w="20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2,848,486</w:t>
            </w: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88"/>
              </w:rPr>
              <w:t>23,311</w:t>
            </w: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auto"/>
            </w:tcBorders>
            <w:gridSpan w:val="4"/>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r>
      <w:tr>
        <w:trPr>
          <w:trHeight w:val="130"/>
        </w:trPr>
        <w:tc>
          <w:tcPr>
            <w:tcW w:w="3980" w:type="dxa"/>
            <w:vAlign w:val="bottom"/>
          </w:tcPr>
          <w:p>
            <w:pPr>
              <w:spacing w:after="0" w:line="130" w:lineRule="exact"/>
              <w:rPr>
                <w:sz w:val="20"/>
                <w:szCs w:val="20"/>
                <w:color w:val="auto"/>
              </w:rPr>
            </w:pPr>
            <w:r>
              <w:rPr>
                <w:rFonts w:ascii="Arial" w:cs="Arial" w:eastAsia="Arial" w:hAnsi="Arial"/>
                <w:sz w:val="14"/>
                <w:szCs w:val="14"/>
                <w:color w:val="auto"/>
              </w:rPr>
              <w:t>Incremental vesting conditions placed on previously issued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980" w:type="dxa"/>
            <w:vAlign w:val="bottom"/>
          </w:tcPr>
          <w:p>
            <w:pPr>
              <w:ind w:left="140"/>
              <w:spacing w:after="0"/>
              <w:rPr>
                <w:sz w:val="20"/>
                <w:szCs w:val="20"/>
                <w:color w:val="auto"/>
              </w:rPr>
            </w:pPr>
            <w:r>
              <w:rPr>
                <w:rFonts w:ascii="Arial" w:cs="Arial" w:eastAsia="Arial" w:hAnsi="Arial"/>
                <w:sz w:val="14"/>
                <w:szCs w:val="14"/>
                <w:color w:val="auto"/>
              </w:rPr>
              <w:t>common shares</w:t>
            </w:r>
          </w:p>
        </w:tc>
        <w:tc>
          <w:tcPr>
            <w:tcW w:w="200" w:type="dxa"/>
            <w:vAlign w:val="bottom"/>
          </w:tcPr>
          <w:p>
            <w:pPr>
              <w:spacing w:after="0"/>
              <w:rPr>
                <w:sz w:val="14"/>
                <w:szCs w:val="14"/>
                <w:color w:val="auto"/>
              </w:rPr>
            </w:pPr>
          </w:p>
        </w:tc>
        <w:tc>
          <w:tcPr>
            <w:tcW w:w="560" w:type="dxa"/>
            <w:vAlign w:val="bottom"/>
            <w:gridSpan w:val="4"/>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4"/>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4"/>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5"/>
          </w:tcPr>
          <w:p>
            <w:pPr>
              <w:jc w:val="right"/>
              <w:ind w:right="80"/>
              <w:spacing w:after="0"/>
              <w:rPr>
                <w:sz w:val="20"/>
                <w:szCs w:val="20"/>
                <w:color w:val="auto"/>
              </w:rPr>
            </w:pPr>
            <w:r>
              <w:rPr>
                <w:rFonts w:ascii="Arial" w:cs="Arial" w:eastAsia="Arial" w:hAnsi="Arial"/>
                <w:sz w:val="14"/>
                <w:szCs w:val="14"/>
                <w:color w:val="auto"/>
              </w:rPr>
              <w:t>(562,800)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gridSpan w:val="3"/>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shares of common stock subject to repurchase</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auto"/>
            </w:tcBorders>
            <w:gridSpan w:val="4"/>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56,662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56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4"/>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108</w:t>
            </w:r>
          </w:p>
        </w:tc>
        <w:tc>
          <w:tcPr>
            <w:tcW w:w="180" w:type="dxa"/>
            <w:vAlign w:val="bottom"/>
          </w:tcPr>
          <w:p>
            <w:pPr>
              <w:spacing w:after="0"/>
              <w:rPr>
                <w:sz w:val="12"/>
                <w:szCs w:val="12"/>
                <w:color w:val="auto"/>
              </w:rPr>
            </w:pPr>
          </w:p>
        </w:tc>
        <w:tc>
          <w:tcPr>
            <w:tcW w:w="740" w:type="dxa"/>
            <w:vAlign w:val="bottom"/>
            <w:gridSpan w:val="3"/>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108</w:t>
            </w: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auto"/>
            </w:tcBorders>
            <w:gridSpan w:val="4"/>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(1,474)</w:t>
            </w:r>
          </w:p>
        </w:tc>
        <w:tc>
          <w:tcPr>
            <w:tcW w:w="1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(1,474)</w:t>
            </w:r>
          </w:p>
        </w:tc>
      </w:tr>
      <w:tr>
        <w:trPr>
          <w:trHeight w:val="155"/>
        </w:trPr>
        <w:tc>
          <w:tcPr>
            <w:tcW w:w="39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6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3,374,560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8"/>
              </w:rPr>
              <w:t>27,651</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gridSpan w:val="3"/>
          </w:tcPr>
          <w:p>
            <w:pPr>
              <w:ind w:left="26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535,589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w w:val="76"/>
              </w:rPr>
              <w:t>108</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(6,215)</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(6,107)</w:t>
            </w:r>
          </w:p>
        </w:tc>
        <w:tc>
          <w:tcPr>
            <w:tcW w:w="100" w:type="dxa"/>
            <w:vAlign w:val="bottom"/>
          </w:tcPr>
          <w:p>
            <w:pPr>
              <w:spacing w:after="0"/>
              <w:rPr>
                <w:sz w:val="13"/>
                <w:szCs w:val="13"/>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2020</w:t>
            </w:r>
          </w:p>
        </w:tc>
        <w:tc>
          <w:tcPr>
            <w:tcW w:w="6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3,374,560</w:t>
            </w: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27,651</w:t>
            </w:r>
          </w:p>
        </w:tc>
        <w:tc>
          <w:tcPr>
            <w:tcW w:w="20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gridSpan w:val="4"/>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704,312</w:t>
            </w: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439</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(14,077)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(13,638)</w:t>
            </w:r>
          </w:p>
        </w:tc>
      </w:tr>
      <w:tr>
        <w:trPr>
          <w:trHeight w:val="130"/>
        </w:trPr>
        <w:tc>
          <w:tcPr>
            <w:tcW w:w="3980" w:type="dxa"/>
            <w:vAlign w:val="bottom"/>
          </w:tcPr>
          <w:p>
            <w:pPr>
              <w:spacing w:after="0" w:line="130" w:lineRule="exact"/>
              <w:rPr>
                <w:sz w:val="20"/>
                <w:szCs w:val="20"/>
                <w:color w:val="auto"/>
              </w:rPr>
            </w:pPr>
            <w:r>
              <w:rPr>
                <w:rFonts w:ascii="Arial" w:cs="Arial" w:eastAsia="Arial" w:hAnsi="Arial"/>
                <w:sz w:val="14"/>
                <w:szCs w:val="14"/>
                <w:color w:val="auto"/>
                <w:w w:val="99"/>
              </w:rPr>
              <w:t>Issuance of Series A convertible preferred stock, net of issuance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980" w:type="dxa"/>
            <w:vAlign w:val="bottom"/>
          </w:tcPr>
          <w:p>
            <w:pPr>
              <w:ind w:left="140"/>
              <w:spacing w:after="0"/>
              <w:rPr>
                <w:sz w:val="20"/>
                <w:szCs w:val="20"/>
                <w:color w:val="auto"/>
              </w:rPr>
            </w:pPr>
            <w:r>
              <w:rPr>
                <w:rFonts w:ascii="Arial" w:cs="Arial" w:eastAsia="Arial" w:hAnsi="Arial"/>
                <w:sz w:val="14"/>
                <w:szCs w:val="14"/>
                <w:color w:val="auto"/>
              </w:rPr>
              <w:t>costs</w:t>
            </w:r>
          </w:p>
        </w:tc>
        <w:tc>
          <w:tcPr>
            <w:tcW w:w="640" w:type="dxa"/>
            <w:vAlign w:val="bottom"/>
            <w:gridSpan w:val="4"/>
          </w:tcPr>
          <w:p>
            <w:pPr>
              <w:jc w:val="right"/>
              <w:ind w:right="20"/>
              <w:spacing w:after="0"/>
              <w:rPr>
                <w:sz w:val="20"/>
                <w:szCs w:val="20"/>
                <w:color w:val="auto"/>
              </w:rPr>
            </w:pPr>
            <w:r>
              <w:rPr>
                <w:rFonts w:ascii="Arial" w:cs="Arial" w:eastAsia="Arial" w:hAnsi="Arial"/>
                <w:sz w:val="14"/>
                <w:szCs w:val="14"/>
                <w:color w:val="auto"/>
                <w:w w:val="96"/>
              </w:rPr>
              <w:t>2,848,486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4"/>
                <w:szCs w:val="14"/>
                <w:color w:val="auto"/>
                <w:w w:val="88"/>
              </w:rPr>
              <w:t>23,495</w:t>
            </w:r>
          </w:p>
        </w:tc>
        <w:tc>
          <w:tcPr>
            <w:tcW w:w="200" w:type="dxa"/>
            <w:vAlign w:val="bottom"/>
          </w:tcPr>
          <w:p>
            <w:pPr>
              <w:spacing w:after="0"/>
              <w:rPr>
                <w:sz w:val="14"/>
                <w:szCs w:val="14"/>
                <w:color w:val="auto"/>
              </w:rPr>
            </w:pP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4"/>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gridSpan w:val="3"/>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r>
      <w:tr>
        <w:trPr>
          <w:trHeight w:val="130"/>
        </w:trPr>
        <w:tc>
          <w:tcPr>
            <w:tcW w:w="3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Issuance of Series B convertible preferred stock, net of issuance</w:t>
            </w:r>
          </w:p>
        </w:tc>
        <w:tc>
          <w:tcPr>
            <w:tcW w:w="20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w:t>
            </w:r>
          </w:p>
        </w:tc>
        <w:tc>
          <w:tcPr>
            <w:tcW w:w="20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60" w:type="dxa"/>
            <w:vAlign w:val="bottom"/>
            <w:gridSpan w:val="4"/>
            <w:shd w:val="clear" w:color="auto" w:fill="CCEEFF"/>
          </w:tcPr>
          <w:p>
            <w:pPr>
              <w:jc w:val="center"/>
              <w:spacing w:after="0"/>
              <w:rPr>
                <w:sz w:val="20"/>
                <w:szCs w:val="20"/>
                <w:color w:val="auto"/>
              </w:rPr>
            </w:pPr>
            <w:r>
              <w:rPr>
                <w:rFonts w:ascii="Arial" w:cs="Arial" w:eastAsia="Arial" w:hAnsi="Arial"/>
                <w:sz w:val="14"/>
                <w:szCs w:val="14"/>
                <w:color w:val="auto"/>
                <w:w w:val="93"/>
              </w:rPr>
              <w:t>3,874,793</w:t>
            </w: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auto"/>
            </w:tcBorders>
            <w:gridSpan w:val="4"/>
            <w:shd w:val="clear" w:color="auto" w:fill="CCEEFF"/>
          </w:tcPr>
          <w:p>
            <w:pPr>
              <w:ind w:left="20"/>
              <w:spacing w:after="0"/>
              <w:rPr>
                <w:sz w:val="20"/>
                <w:szCs w:val="20"/>
                <w:color w:val="auto"/>
              </w:rPr>
            </w:pPr>
            <w:r>
              <w:rPr>
                <w:rFonts w:ascii="Arial" w:cs="Arial" w:eastAsia="Arial" w:hAnsi="Arial"/>
                <w:sz w:val="14"/>
                <w:szCs w:val="14"/>
                <w:color w:val="auto"/>
              </w:rPr>
              <w:t>106,128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Issuance of common stock for stock option exercises</w:t>
            </w:r>
          </w:p>
        </w:tc>
        <w:tc>
          <w:tcPr>
            <w:tcW w:w="200" w:type="dxa"/>
            <w:vAlign w:val="bottom"/>
          </w:tcPr>
          <w:p>
            <w:pPr>
              <w:spacing w:after="0"/>
              <w:rPr>
                <w:sz w:val="12"/>
                <w:szCs w:val="12"/>
                <w:color w:val="auto"/>
              </w:rPr>
            </w:pPr>
          </w:p>
        </w:tc>
        <w:tc>
          <w:tcPr>
            <w:tcW w:w="56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4"/>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53,599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w:t>
            </w:r>
          </w:p>
        </w:tc>
        <w:tc>
          <w:tcPr>
            <w:tcW w:w="180" w:type="dxa"/>
            <w:vAlign w:val="bottom"/>
          </w:tcPr>
          <w:p>
            <w:pPr>
              <w:spacing w:after="0"/>
              <w:rPr>
                <w:sz w:val="12"/>
                <w:szCs w:val="12"/>
                <w:color w:val="auto"/>
              </w:rPr>
            </w:pPr>
          </w:p>
        </w:tc>
        <w:tc>
          <w:tcPr>
            <w:tcW w:w="740" w:type="dxa"/>
            <w:vAlign w:val="bottom"/>
            <w:gridSpan w:val="3"/>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85</w:t>
            </w: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shares of common stock subject to repurchase</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auto"/>
            </w:tcBorders>
            <w:gridSpan w:val="4"/>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91,049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66</w:t>
            </w: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56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4"/>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174</w:t>
            </w:r>
          </w:p>
        </w:tc>
        <w:tc>
          <w:tcPr>
            <w:tcW w:w="180" w:type="dxa"/>
            <w:vAlign w:val="bottom"/>
          </w:tcPr>
          <w:p>
            <w:pPr>
              <w:spacing w:after="0"/>
              <w:rPr>
                <w:sz w:val="12"/>
                <w:szCs w:val="12"/>
                <w:color w:val="auto"/>
              </w:rPr>
            </w:pPr>
          </w:p>
        </w:tc>
        <w:tc>
          <w:tcPr>
            <w:tcW w:w="740" w:type="dxa"/>
            <w:vAlign w:val="bottom"/>
            <w:gridSpan w:val="3"/>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174</w:t>
            </w: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auto"/>
            </w:tcBorders>
            <w:gridSpan w:val="4"/>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(4,209)</w:t>
            </w:r>
          </w:p>
        </w:tc>
        <w:tc>
          <w:tcPr>
            <w:tcW w:w="1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(4,209)</w:t>
            </w:r>
          </w:p>
        </w:tc>
      </w:tr>
      <w:tr>
        <w:trPr>
          <w:trHeight w:val="156"/>
        </w:trPr>
        <w:tc>
          <w:tcPr>
            <w:tcW w:w="39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6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6,223,046</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8"/>
              </w:rPr>
              <w:t>51,146</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w w:val="93"/>
              </w:rPr>
              <w:t>3,874,793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gridSpan w:val="3"/>
          </w:tcPr>
          <w:p>
            <w:pPr>
              <w:ind w:left="20"/>
              <w:spacing w:after="0" w:line="155" w:lineRule="exact"/>
              <w:rPr>
                <w:sz w:val="20"/>
                <w:szCs w:val="20"/>
                <w:color w:val="auto"/>
              </w:rPr>
            </w:pPr>
            <w:r>
              <w:rPr>
                <w:rFonts w:ascii="Arial" w:cs="Arial" w:eastAsia="Arial" w:hAnsi="Arial"/>
                <w:sz w:val="14"/>
                <w:szCs w:val="14"/>
                <w:color w:val="auto"/>
                <w:w w:val="86"/>
              </w:rPr>
              <w:t>106,128</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848,960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w w:val="76"/>
              </w:rPr>
              <w:t>764</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(18,286</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(17,522</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r>
      <w:tr>
        <w:trPr>
          <w:trHeight w:val="20"/>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2020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5"/>
          </w:tcPr>
          <w:p>
            <w:pPr>
              <w:jc w:val="right"/>
              <w:ind w:right="120"/>
              <w:spacing w:after="0"/>
              <w:rPr>
                <w:sz w:val="20"/>
                <w:szCs w:val="20"/>
                <w:color w:val="auto"/>
              </w:rPr>
            </w:pPr>
            <w:r>
              <w:rPr>
                <w:rFonts w:ascii="Arial" w:cs="Arial" w:eastAsia="Arial" w:hAnsi="Arial"/>
                <w:sz w:val="18"/>
                <w:szCs w:val="18"/>
                <w:color w:val="auto"/>
              </w:rPr>
              <w:t>$ (1,474)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operations: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20" w:type="dxa"/>
            <w:vAlign w:val="bottom"/>
            <w:gridSpan w:val="5"/>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Change in fair value of SAFE commitments</w:t>
            </w:r>
          </w:p>
        </w:tc>
        <w:tc>
          <w:tcPr>
            <w:tcW w:w="1820" w:type="dxa"/>
            <w:vAlign w:val="bottom"/>
            <w:gridSpan w:val="5"/>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820" w:type="dxa"/>
            <w:vAlign w:val="bottom"/>
            <w:gridSpan w:val="5"/>
          </w:tcPr>
          <w:p>
            <w:pPr>
              <w:jc w:val="right"/>
              <w:ind w:right="18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accrued expenses and other liabilities</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8260" w:type="dxa"/>
            <w:vAlign w:val="bottom"/>
          </w:tcPr>
          <w:p>
            <w:pPr>
              <w:ind w:left="720"/>
              <w:spacing w:after="0"/>
              <w:rPr>
                <w:sz w:val="20"/>
                <w:szCs w:val="20"/>
                <w:color w:val="auto"/>
              </w:rPr>
            </w:pPr>
            <w:r>
              <w:rPr>
                <w:rFonts w:ascii="Arial" w:cs="Arial" w:eastAsia="Arial" w:hAnsi="Arial"/>
                <w:sz w:val="18"/>
                <w:szCs w:val="18"/>
                <w:color w:val="auto"/>
              </w:rPr>
              <w:t>Right-of-use assets and lease liabilities, net</w:t>
            </w:r>
          </w:p>
        </w:tc>
        <w:tc>
          <w:tcPr>
            <w:tcW w:w="104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324"/>
        </w:trPr>
        <w:tc>
          <w:tcPr>
            <w:tcW w:w="8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82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Proceeds from the issuance of Series A convertible preferred stock, net of issuance costs</w:t>
            </w:r>
          </w:p>
        </w:tc>
        <w:tc>
          <w:tcPr>
            <w:tcW w:w="1820" w:type="dxa"/>
            <w:vAlign w:val="bottom"/>
            <w:gridSpan w:val="5"/>
          </w:tcPr>
          <w:p>
            <w:pPr>
              <w:jc w:val="right"/>
              <w:ind w:right="180"/>
              <w:spacing w:after="0"/>
              <w:rPr>
                <w:sz w:val="20"/>
                <w:szCs w:val="20"/>
                <w:color w:val="auto"/>
              </w:rPr>
            </w:pPr>
            <w:r>
              <w:rPr>
                <w:rFonts w:ascii="Arial" w:cs="Arial" w:eastAsia="Arial" w:hAnsi="Arial"/>
                <w:sz w:val="18"/>
                <w:szCs w:val="18"/>
                <w:color w:val="auto"/>
              </w:rPr>
              <w:t>23,311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23,495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Series B convertible preferred stock, net of issuance costs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6"/>
              </w:rPr>
              <w:t>106,276</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early exercise of stock options</w:t>
            </w:r>
          </w:p>
        </w:tc>
        <w:tc>
          <w:tcPr>
            <w:tcW w:w="18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Payments of deferred offering costs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Payments for financing lease</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23,328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130,245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increase for the period</w:t>
            </w:r>
          </w:p>
        </w:tc>
        <w:tc>
          <w:tcPr>
            <w:tcW w:w="18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21,786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6"/>
              </w:rPr>
              <w:t>125,414</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quarter</w:t>
            </w:r>
          </w:p>
        </w:tc>
        <w:tc>
          <w:tcPr>
            <w:tcW w:w="10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quarter</w:t>
            </w:r>
          </w:p>
        </w:tc>
        <w:tc>
          <w:tcPr>
            <w:tcW w:w="18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6"/>
              </w:rPr>
              <w:t>140,881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Reconciliation of cash, cash equivalents and restricted cash to the balance sheet</w:t>
            </w: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$21,894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6"/>
              </w:rPr>
              <w:t>140,638</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8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6"/>
              </w:rPr>
              <w:t>140,881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investing and financing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Arial" w:cs="Arial" w:eastAsia="Arial" w:hAnsi="Arial"/>
                <w:sz w:val="18"/>
                <w:szCs w:val="18"/>
                <w:color w:val="auto"/>
              </w:rPr>
              <w:t>Purchases of equipment included in accounts payable</w:t>
            </w:r>
          </w:p>
        </w:tc>
        <w:tc>
          <w:tcPr>
            <w:tcW w:w="1820" w:type="dxa"/>
            <w:vAlign w:val="bottom"/>
            <w:gridSpan w:val="5"/>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Issuance of convertible preferred stock in exchange for simple agreement for future equity</w:t>
            </w:r>
          </w:p>
        </w:tc>
        <w:tc>
          <w:tcPr>
            <w:tcW w:w="18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Series B issuance costs included in accounts payable and accrued expenses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Tyra Biosciences, Inc. (the “Company”) was incorporated in the state of Delaware on August 2, 2018. The Company is a precision oncology company designing and developing purpose-built therapies specifically designed to overcome therapy resistance and improve the lives of cancer patients whose tumors have acquired resistance over the course of therapy to currently available treatments.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devoted substantially all of its efforts to research and development and has not generated revenues from its principal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operations.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From inception to March 31, 2021, the Company has devoted substantially all of its resources to organizing and staffing the company, business planning, raising capital, developing its proprietary SNAP discovery engine, undertaking research and development activities for its development programs, establishing its intellectual property portfolio, and providing general and administrative support for its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to develop its current and future product candidates. From inception to March 31, 2021, the Company has funded its operations primarily through its Series A and Series B convertible preferred stock financing. In February 2021, the Company received $23.5 million in gross proceeds from the sale of the second tranche of Series A convertible stock. Additionally, in March 2021, the Company received $106.3 million in gross proceeds from the sale of Series B convertible preferred stock.</w:t>
      </w:r>
    </w:p>
    <w:p>
      <w:pPr>
        <w:spacing w:after="0" w:line="181"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As the Company continues to pursue its business plan, it expects to finance its operations through a combination of equity offerings, debt financings or other capital sources, including potential collaborations, licenses and other similar arrangements. However, there can be no assurance that any additional financing or strategic transactions will be available to the Company on acceptable terms, if at all. If events or circumstances occur such that the Company does not obtain additional funding, it may need to delay, reduce or eliminate its product development or future commercialization efforts, which could have a material adverse effect on the Company’s business, results of operations or financial condition. The accompanying financial statements do not include any adjustments that might be necessary if it were unable to continue as a going concern.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The accompanying unaudited financial statements as of March 31, 2021 and for the three months ended March 31, 2020 and 2021 have been prepared in accordance with accounting principles generally accepted in the United States (“GAAP”) for interim financial information and pursuant to Article 10 of Regulation S-X of the Securities Act of 1933, as amended. Accordingly, they do not include all of the information and notes required by GAAP for complete financial statements. These unaudited financial statements include only normal and recurring adjustments that the Company believes are necessary to fairly state the Company’s financial position and the results of its operations and cash flows. The results for the three months ended March 31, 2021 are not necessarily indicative of the results expected for the full fiscal year or any subsequent interim period. The balance sheet at March 31, 2021 has been derived from the financial statements at that date but does not include all disclosures required by GAAP for complete financial statements. Because all of the disclosures required by GAAP for complete financial statements are not included herein, these unaudited financial statements and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notes accompanying them should be read in conjunction with the Company’s audited financial statements for the year ended December 31, 2020 included elsewhere in this Registration Statement on Form S-1 filed with the Securities and Exchange Commission.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periods ended December 31, 2019 and 2020, included elsewhere in this prospectus. Since the date of those financial statements, there have been no changes to its significant accounting policies, except as noted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left="120" w:firstLine="881"/>
        <w:spacing w:after="0" w:line="311" w:lineRule="auto"/>
        <w:rPr>
          <w:sz w:val="20"/>
          <w:szCs w:val="20"/>
          <w:color w:val="auto"/>
        </w:rPr>
      </w:pPr>
      <w:r>
        <w:rPr>
          <w:rFonts w:ascii="Arial" w:cs="Arial" w:eastAsia="Arial" w:hAnsi="Arial"/>
          <w:sz w:val="16"/>
          <w:szCs w:val="16"/>
          <w:color w:val="auto"/>
        </w:rPr>
        <w:t>The Company capitalizes costs that are directly associated with in-process equity financings in other long-term assets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and Comprehensive Loss.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2020 and March 31, 2021.</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There were no other significant updates not already disclosed in the Company’s audited financial statements for the years ended December 31, 2019 and 2020 to the recently issued accounting standards for the three months ended March 31, 2021.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8" w:lineRule="exact"/>
        <w:rPr>
          <w:sz w:val="20"/>
          <w:szCs w:val="20"/>
          <w:color w:val="auto"/>
        </w:rPr>
      </w:pPr>
    </w:p>
    <w:p>
      <w:pPr>
        <w:ind w:left="1000" w:right="58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1000" w:right="12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either directly or indirectly, for substantially the full term of the asset or liability.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80"/>
          </w:cols>
          <w:pgMar w:left="320" w:top="459"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—Prices or valuation techniques that require inputs that are both significant to the fair value measurement and unobservable (i.e.</w: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supported by little or no market activity).</w:t>
      </w:r>
    </w:p>
    <w:p>
      <w:pPr>
        <w:spacing w:after="0" w:line="211"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The carrying amounts of the Company’s financial instruments, including cash and cash equivalents, prepaid and other current assets, accounts payable, and accrued liabilities, approximate fair value due to their short maturities. Included in cash and cash equivalents at December 31, 2020 and March 31, 2021 are money market funds with a carrying value and fair value of $4.7 million and $130.1 million, respectively, based upon a Level 1 fair value assessment. No transfers between levels have occurred during the periods presented.</w:t>
      </w:r>
    </w:p>
    <w:p>
      <w:pPr>
        <w:spacing w:after="0" w:line="171"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None of the Company’s non-financial assets or liabilities are recorded at fair value on a non-recurring basis. No transfers between levels have occurred during the periods presented.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536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jc w:val="center"/>
              <w:ind w:left="259"/>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recognized $4,000 and $22,000 in depreciation expense for the three months ended March 31, 2020 and 2021, respectively.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and Other Current Liabilities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60" w:type="dxa"/>
            <w:vAlign w:val="bottom"/>
            <w:gridSpan w:val="3"/>
          </w:tcPr>
          <w:p>
            <w:pPr>
              <w:ind w:left="11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540" w:type="dxa"/>
            <w:vAlign w:val="bottom"/>
            <w:gridSpan w:val="4"/>
          </w:tcPr>
          <w:p>
            <w:pPr>
              <w:ind w:left="840"/>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other employee benefits</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research and development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legal and professional fees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other general and administrative fees</w:t>
            </w: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Simple Agreements for Future Equity (“SAFEs”)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During 2018 and 2019, the Company entered into SAFEs with investors. The SAFEs granted investors with rights to participate in a future equity financing. The SAFEs contained a number of conversion and redemption provisions, including conversion upon an equity event, and settlement upon liquidity or dissolution events. The Company elected the fair value option of accounting for the SAFEs. On January 6, 2020, the Company entered into a Series A Preferred Stock Purchase agreement which converted the outstanding SAFEs into 526,074 shares of Series A convertible preferred stock at a conversion price of $6.11 per share.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60"/>
          </w:cols>
          <w:pgMar w:left="320" w:top="459" w:right="5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Convertible Preferred Stock and Stockholders’ Deficit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Deficit</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Under the Amended and Restated Certificate of Incorporation dated March 5, 2021, the Company had a total of 23,085,506 shares of capital stock authorized for issuance, consisting of 12,987,667 shares of common stock, par value of $0.0001 per share, and 10,097,839 shares of preferred stock, par value of $0.0001 per share.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Company entered into the Series A Preferred Stock Purchase Agreement dated January 6, 2020 (“Stock Purchase Agreement”) whereby the Company agreed to issue and sell, and certain investors agreed to purchase up to an aggregate of 5,696,972 shares of Series A convertible preferred stock, at a price of $8.25 per share, in two closings. In January 2020, the Company completed its first closing and issued 2,848,486 shares at a price of $8.25 per share resulting in gross proceeds of $23.5 million and incurred issuance costs of $0.2 million. The Stock Purchase Agreement granted investors the rights and obligations to purchase an additional 2,848,486 shares of Series A convertible preferred stock (“Future Tranche Right”) at a price of $8.25 per share during a second closing which would occur upon triggering of future milestone events, provided that they occur before January 6, 2022. In February 2021, the Company completed its second closing and issued 2,848,486 shares of Series A convertible preferred stock at a price of $8.25 per share for gross proceeds of $23.5 million and incurred issuance costs of $5,000.</w:t>
      </w:r>
    </w:p>
    <w:p>
      <w:pPr>
        <w:spacing w:after="0" w:line="178"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Company determined that the Future Tranche Right did not meet the definition of a freestanding financial instrument as it was not legally detachable. The Future Tranche Right was also evaluated as an embedded derivative and the Company determined it did not meet the definition of a derivative instrument for which bifurcation would be required.</w:t>
      </w:r>
    </w:p>
    <w:p>
      <w:pPr>
        <w:spacing w:after="0" w:line="184" w:lineRule="exact"/>
        <w:rPr>
          <w:sz w:val="20"/>
          <w:szCs w:val="20"/>
          <w:color w:val="auto"/>
        </w:rPr>
      </w:pPr>
    </w:p>
    <w:p>
      <w:pPr>
        <w:ind w:left="120" w:right="440" w:firstLine="881"/>
        <w:spacing w:after="0" w:line="263" w:lineRule="auto"/>
        <w:rPr>
          <w:sz w:val="20"/>
          <w:szCs w:val="20"/>
          <w:color w:val="auto"/>
        </w:rPr>
      </w:pPr>
      <w:r>
        <w:rPr>
          <w:rFonts w:ascii="Arial" w:cs="Arial" w:eastAsia="Arial" w:hAnsi="Arial"/>
          <w:sz w:val="18"/>
          <w:szCs w:val="18"/>
          <w:color w:val="auto"/>
        </w:rPr>
        <w:t>In March 2021, the Company entered into the Series B Preferred Stock Purchase Agreement under which it issued 3,874,793 shares of Series B convertible preferred stock, at a price of $27.4337 per share, resulting in net proceeds of $106.1 million excluding issuance costs of $0.2 million.</w:t>
      </w:r>
    </w:p>
    <w:p>
      <w:pPr>
        <w:spacing w:after="0" w:line="18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As of December 31, 2020 and March 31, 2021, the Company’s convertible preferred stock has been classified as temporary equity in the accompanying balance sheets given that the holders of the convertible preferred stock could cause certain events to occur that are outside of the Company’s control whereby the Company could be obligated to redeem the convertible preferred stock. The carrying value of the convertible preferred stock is not adjusted to the redemption value until the contingent redemption events are considered to be probable of occurring. The Company’s convertible preferred stock has the following characteristics: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left="120" w:right="20" w:firstLine="881"/>
        <w:spacing w:after="0" w:line="259" w:lineRule="auto"/>
        <w:rPr>
          <w:sz w:val="20"/>
          <w:szCs w:val="20"/>
          <w:color w:val="auto"/>
        </w:rPr>
      </w:pPr>
      <w:r>
        <w:rPr>
          <w:rFonts w:ascii="Arial" w:cs="Arial" w:eastAsia="Arial" w:hAnsi="Arial"/>
          <w:sz w:val="18"/>
          <w:szCs w:val="18"/>
          <w:color w:val="auto"/>
        </w:rPr>
        <w:t>The Company shall not declare, pay or set aside any dividends on shares of any class of capital stock of the Company unless the holders of the Series A and Series B convertible preferred stock shall first receive, or simultaneously receive, a noncumulative dividend on each outstanding share of the Series A convertible preferred stock equal to an amount as defined in the Company’s Amended and Restated Certificate of Incorporation. No such dividends have been declared or paid through March 31, 2021.</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Preferences on Liquidation</w:t>
      </w:r>
    </w:p>
    <w:p>
      <w:pPr>
        <w:spacing w:after="0" w:line="225" w:lineRule="exact"/>
        <w:rPr>
          <w:sz w:val="20"/>
          <w:szCs w:val="20"/>
          <w:color w:val="auto"/>
        </w:rPr>
      </w:pPr>
    </w:p>
    <w:p>
      <w:pPr>
        <w:jc w:val="both"/>
        <w:ind w:left="120" w:right="120" w:firstLine="881"/>
        <w:spacing w:after="0" w:line="311" w:lineRule="auto"/>
        <w:rPr>
          <w:sz w:val="20"/>
          <w:szCs w:val="20"/>
          <w:color w:val="auto"/>
        </w:rPr>
      </w:pPr>
      <w:r>
        <w:rPr>
          <w:rFonts w:ascii="Arial" w:cs="Arial" w:eastAsia="Arial" w:hAnsi="Arial"/>
          <w:sz w:val="16"/>
          <w:szCs w:val="16"/>
          <w:color w:val="auto"/>
        </w:rPr>
        <w:t>The holders of the Series A and Series B convertible preferred stock are entitled to receive liquidation preferences, in the event of a change in control, at an amount per share equal to the greater of (i) the Series A and Series B original issuance price of $8.25 and $27.4337, respectively, plus any dividends declared but unpaid or (ii) such amount per share as would have been payable had all shares of Series A and Series B preferred stock</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been converted into common stock. Liquidation payments will be distributed ratably to the holders of the Series A and Series B convertible preferred stock and have priority and are made in preference to any payments to the holders of common stock.</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After full payment of the liquidation preference to the holders of the Series A and Series B convertible preferred stock, the remaining assets, if any, will be distributed to the holders of the Series A and Series B convertible preferred stock and common stock, pro rata based on the number of shares held by each holder, treating for this purpose all such securities as if they had been converted to common stock.</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The shares of Series A and Series B convertible preferred stock are convertible into an equal number of shares of common stock, at the option of the holder, subject to certain anti-dilution adjustments. The conversion rate for the convertible preferred stock is determined by dividing the original issue price by the conversion price. The conversion price is initially the original issue price, but is subject to adjustment for dividends, stock splits, and other distributions. The conversion rate at March 31, 2021 for the Series A and Series B convertible preferred stock into common stock was 1:1.</w:t>
      </w:r>
    </w:p>
    <w:p>
      <w:pPr>
        <w:spacing w:after="0" w:line="188" w:lineRule="exact"/>
        <w:rPr>
          <w:sz w:val="20"/>
          <w:szCs w:val="20"/>
          <w:color w:val="auto"/>
        </w:rPr>
      </w:pPr>
    </w:p>
    <w:p>
      <w:pPr>
        <w:ind w:left="120" w:right="240" w:firstLine="881"/>
        <w:spacing w:after="0" w:line="287" w:lineRule="auto"/>
        <w:rPr>
          <w:sz w:val="20"/>
          <w:szCs w:val="20"/>
          <w:color w:val="auto"/>
        </w:rPr>
      </w:pPr>
      <w:r>
        <w:rPr>
          <w:rFonts w:ascii="Arial" w:cs="Arial" w:eastAsia="Arial" w:hAnsi="Arial"/>
          <w:sz w:val="16"/>
          <w:szCs w:val="16"/>
          <w:color w:val="auto"/>
        </w:rPr>
        <w:t>Each share of Series A and Series B convertible preferred stock will be automatically converted into common stock at the then effective conversion rate (i) upon the closing of the sale of common stock to the public in a firm-commitment underwritten public offering pursuant to an effective registration statement under the Securities Act of 1933, as amended, resulting in at least $75.0 million of gross proceeds to the Company, or</w:t>
      </w:r>
    </w:p>
    <w:p>
      <w:pPr>
        <w:spacing w:after="0" w:line="2" w:lineRule="exact"/>
        <w:rPr>
          <w:sz w:val="20"/>
          <w:szCs w:val="20"/>
          <w:color w:val="auto"/>
        </w:rPr>
      </w:pPr>
    </w:p>
    <w:p>
      <w:pPr>
        <w:ind w:left="120" w:right="20" w:hanging="4"/>
        <w:spacing w:after="0" w:line="260" w:lineRule="auto"/>
        <w:tabs>
          <w:tab w:leader="none" w:pos="3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date and time, or the occurrence of an event, specified by vote or written consent of the holders of 60% of the outstanding shares of Series A and Series B convertible preferred stock.</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holders of Series A and Series B convertible preferred stock do not have any redemption rights, except upon certain liquidation and dissolution events that are outside of the Company’s control.</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The holder of each share of Series A and Series B convertible preferred stock are entitled to one vote for each share of common stock into which such shares of Series A and Series B convertible preferred stock could then be converted and shall vote together with the holders of common stock as a single class and on an as-converted to common stock basis.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120" w:right="640" w:firstLine="881"/>
        <w:spacing w:after="0" w:line="308" w:lineRule="auto"/>
        <w:rPr>
          <w:sz w:val="20"/>
          <w:szCs w:val="20"/>
          <w:color w:val="auto"/>
        </w:rPr>
      </w:pPr>
      <w:r>
        <w:rPr>
          <w:rFonts w:ascii="Arial" w:cs="Arial" w:eastAsia="Arial" w:hAnsi="Arial"/>
          <w:sz w:val="17"/>
          <w:szCs w:val="17"/>
          <w:color w:val="auto"/>
        </w:rPr>
        <w:t>As of December 31, 2020 and March 31, 2021, of the 10,000,000 and 12,987,667 authorized shares of common stock, respectively, 1,174,554 and 1,510,292 shares were issued, respectively and 704,312 and 848,960 shares were outstanding, respectively.</w:t>
      </w:r>
    </w:p>
    <w:p>
      <w:pPr>
        <w:spacing w:after="0" w:line="146"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preferences and privileges of the holders of the Series A convertible preferred stock. The holders of the common stock are entitled to one vote for each share of common stock held at all meetings of stockholders.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1"/>
              </w:rPr>
              <w:t>As of</w:t>
            </w: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5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3,374,560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10,097,839</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Common stock options granted and outstanding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529,269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865,032</w:t>
            </w:r>
          </w:p>
        </w:tc>
        <w:tc>
          <w:tcPr>
            <w:tcW w:w="80" w:type="dxa"/>
            <w:vAlign w:val="bottom"/>
          </w:tcPr>
          <w:p>
            <w:pPr>
              <w:spacing w:after="0"/>
              <w:rPr>
                <w:sz w:val="18"/>
                <w:szCs w:val="18"/>
                <w:color w:val="auto"/>
              </w:rPr>
            </w:pPr>
          </w:p>
        </w:tc>
      </w:tr>
      <w:tr>
        <w:trPr>
          <w:trHeight w:val="202"/>
        </w:trPr>
        <w:tc>
          <w:tcPr>
            <w:tcW w:w="5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available for future issuance under the 2020 equity incentive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514,504</w:t>
            </w:r>
          </w:p>
        </w:tc>
        <w:tc>
          <w:tcPr>
            <w:tcW w:w="80" w:type="dxa"/>
            <w:vAlign w:val="bottom"/>
            <w:shd w:val="clear" w:color="auto" w:fill="CCEEFF"/>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3,914,834</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11,477,375</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Since inception, the Company has issued 1,085,918 shares of restricted common stock at a price of $0.0001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December 31, 2020 and March 31, 2021 were 381,606 and 332,643 shares, respectively. The amount recorded as liabilities associated with shares issued with repurchase rights were immaterial as of December 31, 2020 and March 31, 2021.</w:t>
      </w:r>
    </w:p>
    <w:p>
      <w:pPr>
        <w:spacing w:after="0" w:line="19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January 2020, in connection with the issuance of the Series A convertible preferred stock, the Company’s founders agreed to modify their outstanding Founders Stock to include vesting provisions that require continued service to the Company in order to vest in those shares. As such, the 562,800 modified shares of common stock became compensatory upon such modification. The total compensation cost resulting from the modification was $0.9 million, which will be recognized over the vesting term of three years had a measurement date fair value of $1.58 per share. For the three months ended March 31, 2020 and 2021, 46,899 shares vested in each period and the Company recognized $0.1 million of stock-based compensation for each period related to the awards. As of March 31, 2021, the total unrecognized compensation expense related to unvested Founders Stock was $0.5 million expected to be recognized over a weighted-average period of approximately 1.8 years.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120" w:right="460" w:firstLine="881"/>
        <w:spacing w:after="0" w:line="342" w:lineRule="auto"/>
        <w:rPr>
          <w:sz w:val="20"/>
          <w:szCs w:val="20"/>
          <w:color w:val="auto"/>
        </w:rPr>
      </w:pPr>
      <w:r>
        <w:rPr>
          <w:rFonts w:ascii="Arial" w:cs="Arial" w:eastAsia="Arial" w:hAnsi="Arial"/>
          <w:sz w:val="16"/>
          <w:szCs w:val="16"/>
          <w:color w:val="auto"/>
        </w:rPr>
        <w:t>In January 2020, the Company adopted the 2020 Equity Incentive Plan (the “Plan”). The Plan provides for the grant of incentive stock options, non-statutory stock options, stock appreciation rights, restricted stock awards, restricted stock unit awards, and other stock awards.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Plan was amended in March 2021 to increase the total number of shares reserved under the Plan to 1,803,910.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the Company’s stock option activity under the Plan is as follows (in thousands, except share amounts):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ind w:left="32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Weighted-Average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Options</w:t>
            </w:r>
          </w:p>
        </w:tc>
        <w:tc>
          <w:tcPr>
            <w:tcW w:w="500" w:type="dxa"/>
            <w:vAlign w:val="bottom"/>
            <w:gridSpan w:val="2"/>
            <w:vMerge w:val="restart"/>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Exercise</w:t>
            </w:r>
          </w:p>
        </w:tc>
        <w:tc>
          <w:tcPr>
            <w:tcW w:w="680" w:type="dxa"/>
            <w:vAlign w:val="bottom"/>
          </w:tcPr>
          <w:p>
            <w:pPr>
              <w:spacing w:after="0"/>
              <w:rPr>
                <w:sz w:val="12"/>
                <w:szCs w:val="12"/>
                <w:color w:val="auto"/>
              </w:rPr>
            </w:pP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Remaining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Price per Share</w:t>
            </w:r>
          </w:p>
        </w:tc>
        <w:tc>
          <w:tcPr>
            <w:tcW w:w="680" w:type="dxa"/>
            <w:vAlign w:val="bottom"/>
          </w:tcPr>
          <w:p>
            <w:pPr>
              <w:spacing w:after="0"/>
              <w:rPr>
                <w:sz w:val="14"/>
                <w:szCs w:val="1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Contract Term</w:t>
            </w:r>
          </w:p>
        </w:tc>
        <w:tc>
          <w:tcPr>
            <w:tcW w:w="68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Intrinsic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529,269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671,501</w:t>
            </w:r>
          </w:p>
        </w:tc>
        <w:tc>
          <w:tcPr>
            <w:tcW w:w="40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5.82</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95"/>
              </w:rPr>
              <w:t>(335,738)</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865,032</w:t>
            </w:r>
          </w:p>
        </w:tc>
        <w:tc>
          <w:tcPr>
            <w:tcW w:w="400" w:type="dxa"/>
            <w:vAlign w:val="bottom"/>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833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196,311</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March 31, 2021</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865,032</w:t>
            </w:r>
          </w:p>
        </w:tc>
        <w:tc>
          <w:tcPr>
            <w:tcW w:w="400" w:type="dxa"/>
            <w:vAlign w:val="bottom"/>
          </w:tcPr>
          <w:p>
            <w:pPr>
              <w:spacing w:after="0"/>
              <w:rPr>
                <w:sz w:val="20"/>
                <w:szCs w:val="20"/>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833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For the three months ended March 31, 2020 and 2021, the total grant date fair value of vested options was $10,000 and $0.2 million, respectively.</w:t>
      </w:r>
    </w:p>
    <w:p>
      <w:pPr>
        <w:spacing w:after="0" w:line="170"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weighted-average grant date fair value of employee option grants for the three months ended March 31, 2020 and 2021 was $1.23 and $4.57 per share,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for Early Exercise of Stock Options</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As of December 31, 2020 and March 31, 2021, 88,636 and 328,689 unvested shares issued under early exercise provisions were subject to repurchase by the Company, respectively. As of December 31, 2020 and March 31, 2021, the Company recorded $0.1 million and $0.5 million, respectively, associated with shares issued with repurchase rights in other long-term liabilities.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120" w:right="260" w:firstLine="881"/>
        <w:spacing w:after="0" w:line="308" w:lineRule="auto"/>
        <w:rPr>
          <w:sz w:val="20"/>
          <w:szCs w:val="20"/>
          <w:color w:val="auto"/>
        </w:rPr>
      </w:pPr>
      <w:r>
        <w:rPr>
          <w:rFonts w:ascii="Arial" w:cs="Arial" w:eastAsia="Arial" w:hAnsi="Arial"/>
          <w:sz w:val="17"/>
          <w:szCs w:val="17"/>
          <w:color w:val="auto"/>
        </w:rPr>
        <w:t>The Company recognized stock-based compensation expense of $40,000 and $79,000 in research and development expense and $68,000 and $95,000 in general and administrative expense for the three months ended March 31, 2020 and 2021, respectively.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issued the three months ended March 31, 2020 and 2021 were as follows:</w:t>
      </w:r>
    </w:p>
    <w:p>
      <w:pPr>
        <w:spacing w:after="0" w:line="189"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Three Months Ended</w:t>
      </w:r>
    </w:p>
    <w:p>
      <w:pPr>
        <w:jc w:val="center"/>
        <w:ind w:left="5380"/>
        <w:spacing w:after="0" w:line="236" w:lineRule="auto"/>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p>
    <w:tbl>
      <w:tblPr>
        <w:tblLayout w:type="fixed"/>
        <w:tblInd w:w="1660" w:type="dxa"/>
        <w:tblCellMar>
          <w:top w:w="0" w:type="dxa"/>
          <w:left w:w="0" w:type="dxa"/>
          <w:bottom w:w="0" w:type="dxa"/>
          <w:right w:w="0" w:type="dxa"/>
        </w:tblCellMar>
      </w:tblPr>
      <w:tr>
        <w:trPr>
          <w:trHeight w:val="20"/>
        </w:trPr>
        <w:tc>
          <w:tcPr>
            <w:tcW w:w="3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22"/>
        </w:trPr>
        <w:tc>
          <w:tcPr>
            <w:tcW w:w="3860" w:type="dxa"/>
            <w:vAlign w:val="bottom"/>
          </w:tcPr>
          <w:p>
            <w:pPr>
              <w:spacing w:after="0"/>
              <w:rPr>
                <w:sz w:val="10"/>
                <w:szCs w:val="10"/>
                <w:color w:val="auto"/>
              </w:rPr>
            </w:pPr>
          </w:p>
        </w:tc>
        <w:tc>
          <w:tcPr>
            <w:tcW w:w="224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0"/>
                <w:szCs w:val="10"/>
                <w:color w:val="auto"/>
              </w:rPr>
            </w:pPr>
          </w:p>
        </w:tc>
        <w:tc>
          <w:tcPr>
            <w:tcW w:w="82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0"/>
                <w:szCs w:val="10"/>
                <w:color w:val="auto"/>
              </w:rPr>
            </w:pP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w:t>
            </w:r>
          </w:p>
        </w:tc>
        <w:tc>
          <w:tcPr>
            <w:tcW w:w="19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Stock price</w:t>
            </w:r>
          </w:p>
        </w:tc>
        <w:tc>
          <w:tcPr>
            <w:tcW w:w="2840" w:type="dxa"/>
            <w:vAlign w:val="bottom"/>
            <w:gridSpan w:val="4"/>
          </w:tcPr>
          <w:p>
            <w:pPr>
              <w:jc w:val="center"/>
              <w:ind w:left="1314"/>
              <w:spacing w:after="0"/>
              <w:rPr>
                <w:sz w:val="20"/>
                <w:szCs w:val="20"/>
                <w:color w:val="auto"/>
              </w:rPr>
            </w:pPr>
            <w:r>
              <w:rPr>
                <w:rFonts w:ascii="Arial" w:cs="Arial" w:eastAsia="Arial" w:hAnsi="Arial"/>
                <w:sz w:val="18"/>
                <w:szCs w:val="18"/>
                <w:color w:val="auto"/>
                <w:w w:val="88"/>
              </w:rPr>
              <w:t>$1.58</w:t>
            </w:r>
          </w:p>
        </w:tc>
        <w:tc>
          <w:tcPr>
            <w:tcW w:w="1240" w:type="dxa"/>
            <w:vAlign w:val="bottom"/>
            <w:gridSpan w:val="4"/>
          </w:tcPr>
          <w:p>
            <w:pPr>
              <w:jc w:val="center"/>
              <w:ind w:left="94"/>
              <w:spacing w:after="0"/>
              <w:rPr>
                <w:sz w:val="20"/>
                <w:szCs w:val="20"/>
                <w:color w:val="auto"/>
              </w:rPr>
            </w:pPr>
            <w:r>
              <w:rPr>
                <w:rFonts w:ascii="Arial" w:cs="Arial" w:eastAsia="Arial" w:hAnsi="Arial"/>
                <w:sz w:val="18"/>
                <w:szCs w:val="18"/>
                <w:color w:val="auto"/>
                <w:w w:val="89"/>
              </w:rPr>
              <w:t>$2.57 - 5.83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2840" w:type="dxa"/>
            <w:vAlign w:val="bottom"/>
            <w:gridSpan w:val="4"/>
            <w:shd w:val="clear" w:color="auto" w:fill="CCEEFF"/>
          </w:tcPr>
          <w:p>
            <w:pPr>
              <w:jc w:val="center"/>
              <w:ind w:left="1314"/>
              <w:spacing w:after="0"/>
              <w:rPr>
                <w:sz w:val="20"/>
                <w:szCs w:val="20"/>
                <w:color w:val="auto"/>
              </w:rPr>
            </w:pPr>
            <w:r>
              <w:rPr>
                <w:rFonts w:ascii="Arial" w:cs="Arial" w:eastAsia="Arial" w:hAnsi="Arial"/>
                <w:sz w:val="18"/>
                <w:szCs w:val="18"/>
                <w:color w:val="auto"/>
                <w:w w:val="92"/>
              </w:rPr>
              <w:t>0.6 - 1.5%</w:t>
            </w:r>
          </w:p>
        </w:tc>
        <w:tc>
          <w:tcPr>
            <w:tcW w:w="1240" w:type="dxa"/>
            <w:vAlign w:val="bottom"/>
            <w:gridSpan w:val="4"/>
            <w:shd w:val="clear" w:color="auto" w:fill="CCEEFF"/>
          </w:tcPr>
          <w:p>
            <w:pPr>
              <w:jc w:val="center"/>
              <w:ind w:left="94"/>
              <w:spacing w:after="0"/>
              <w:rPr>
                <w:sz w:val="20"/>
                <w:szCs w:val="20"/>
                <w:color w:val="auto"/>
              </w:rPr>
            </w:pPr>
            <w:r>
              <w:rPr>
                <w:rFonts w:ascii="Arial" w:cs="Arial" w:eastAsia="Arial" w:hAnsi="Arial"/>
                <w:sz w:val="18"/>
                <w:szCs w:val="18"/>
                <w:color w:val="auto"/>
                <w:w w:val="92"/>
              </w:rPr>
              <w:t>0.8 - 1%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Expected term (years)</w:t>
            </w:r>
          </w:p>
        </w:tc>
        <w:tc>
          <w:tcPr>
            <w:tcW w:w="2840" w:type="dxa"/>
            <w:vAlign w:val="bottom"/>
            <w:gridSpan w:val="4"/>
          </w:tcPr>
          <w:p>
            <w:pPr>
              <w:jc w:val="center"/>
              <w:ind w:left="1314"/>
              <w:spacing w:after="0"/>
              <w:rPr>
                <w:sz w:val="20"/>
                <w:szCs w:val="20"/>
                <w:color w:val="auto"/>
              </w:rPr>
            </w:pPr>
            <w:r>
              <w:rPr>
                <w:rFonts w:ascii="Arial" w:cs="Arial" w:eastAsia="Arial" w:hAnsi="Arial"/>
                <w:sz w:val="18"/>
                <w:szCs w:val="18"/>
                <w:color w:val="auto"/>
                <w:w w:val="90"/>
              </w:rPr>
              <w:t>5.8 - 6.1</w:t>
            </w:r>
          </w:p>
        </w:tc>
        <w:tc>
          <w:tcPr>
            <w:tcW w:w="1240" w:type="dxa"/>
            <w:vAlign w:val="bottom"/>
            <w:gridSpan w:val="4"/>
          </w:tcPr>
          <w:p>
            <w:pPr>
              <w:jc w:val="center"/>
              <w:ind w:left="74"/>
              <w:spacing w:after="0"/>
              <w:rPr>
                <w:sz w:val="20"/>
                <w:szCs w:val="20"/>
                <w:color w:val="auto"/>
              </w:rPr>
            </w:pPr>
            <w:r>
              <w:rPr>
                <w:rFonts w:ascii="Arial" w:cs="Arial" w:eastAsia="Arial" w:hAnsi="Arial"/>
                <w:sz w:val="18"/>
                <w:szCs w:val="18"/>
                <w:color w:val="auto"/>
                <w:w w:val="90"/>
              </w:rPr>
              <w:t>6.0 - 6.1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840" w:type="dxa"/>
            <w:vAlign w:val="bottom"/>
            <w:gridSpan w:val="4"/>
            <w:shd w:val="clear" w:color="auto" w:fill="CCEEFF"/>
          </w:tcPr>
          <w:p>
            <w:pPr>
              <w:jc w:val="center"/>
              <w:ind w:left="1314"/>
              <w:spacing w:after="0"/>
              <w:rPr>
                <w:sz w:val="20"/>
                <w:szCs w:val="20"/>
                <w:color w:val="auto"/>
              </w:rPr>
            </w:pPr>
            <w:r>
              <w:rPr>
                <w:rFonts w:ascii="Arial" w:cs="Arial" w:eastAsia="Arial" w:hAnsi="Arial"/>
                <w:sz w:val="18"/>
                <w:szCs w:val="18"/>
                <w:color w:val="auto"/>
                <w:w w:val="90"/>
              </w:rPr>
              <w:t>92.9 - 97.5%</w:t>
            </w:r>
          </w:p>
        </w:tc>
        <w:tc>
          <w:tcPr>
            <w:tcW w:w="1240" w:type="dxa"/>
            <w:vAlign w:val="bottom"/>
            <w:gridSpan w:val="4"/>
            <w:shd w:val="clear" w:color="auto" w:fill="CCEEFF"/>
          </w:tcPr>
          <w:p>
            <w:pPr>
              <w:jc w:val="center"/>
              <w:ind w:left="94"/>
              <w:spacing w:after="0"/>
              <w:rPr>
                <w:sz w:val="20"/>
                <w:szCs w:val="20"/>
                <w:color w:val="auto"/>
              </w:rPr>
            </w:pPr>
            <w:r>
              <w:rPr>
                <w:rFonts w:ascii="Arial" w:cs="Arial" w:eastAsia="Arial" w:hAnsi="Arial"/>
                <w:sz w:val="18"/>
                <w:szCs w:val="18"/>
                <w:color w:val="auto"/>
                <w:w w:val="92"/>
              </w:rPr>
              <w:t>99.7 - 99.9%</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Dividend yield</w:t>
            </w:r>
          </w:p>
        </w:tc>
        <w:tc>
          <w:tcPr>
            <w:tcW w:w="1940" w:type="dxa"/>
            <w:vAlign w:val="bottom"/>
          </w:tcPr>
          <w:p>
            <w:pPr>
              <w:spacing w:after="0"/>
              <w:rPr>
                <w:sz w:val="20"/>
                <w:szCs w:val="20"/>
                <w:color w:val="auto"/>
              </w:rPr>
            </w:pPr>
          </w:p>
        </w:tc>
        <w:tc>
          <w:tcPr>
            <w:tcW w:w="900" w:type="dxa"/>
            <w:vAlign w:val="bottom"/>
            <w:gridSpan w:val="3"/>
          </w:tcPr>
          <w:p>
            <w:pPr>
              <w:jc w:val="center"/>
              <w:ind w:right="56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70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As of March 31, 2021, the unrecognized compensation cost related to outstanding employee and nonemployee options was $3.6 million, and is expected to be recognized as expense over approximately 3.9 years.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Net Loss Per Share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267"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Three Months Ended</w:t>
      </w:r>
    </w:p>
    <w:p>
      <w:pPr>
        <w:jc w:val="center"/>
        <w:ind w:left="5460"/>
        <w:spacing w:after="0" w:line="236" w:lineRule="auto"/>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p>
    <w:tbl>
      <w:tblPr>
        <w:tblLayout w:type="fixed"/>
        <w:tblInd w:w="1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60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5"/>
          </w:tcPr>
          <w:p>
            <w:pPr>
              <w:jc w:val="right"/>
              <w:ind w:right="300"/>
              <w:spacing w:after="0"/>
              <w:rPr>
                <w:sz w:val="20"/>
                <w:szCs w:val="20"/>
                <w:color w:val="auto"/>
              </w:rPr>
            </w:pPr>
            <w:r>
              <w:rPr>
                <w:rFonts w:ascii="Arial" w:cs="Arial" w:eastAsia="Arial" w:hAnsi="Arial"/>
                <w:sz w:val="18"/>
                <w:szCs w:val="18"/>
                <w:color w:val="auto"/>
              </w:rPr>
              <w:t>(1,474)</w:t>
            </w: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1,092,061</w:t>
            </w:r>
          </w:p>
        </w:tc>
        <w:tc>
          <w:tcPr>
            <w:tcW w:w="3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1,314,423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Less: weighted average unvested founder shares of common</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w:t>
            </w:r>
          </w:p>
        </w:tc>
        <w:tc>
          <w:tcPr>
            <w:tcW w:w="12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(554,086)</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(363,802)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700"/>
              <w:spacing w:after="0" w:line="201" w:lineRule="exact"/>
              <w:rPr>
                <w:sz w:val="20"/>
                <w:szCs w:val="20"/>
                <w:color w:val="auto"/>
              </w:rPr>
            </w:pPr>
            <w:r>
              <w:rPr>
                <w:rFonts w:ascii="Arial" w:cs="Arial" w:eastAsia="Arial" w:hAnsi="Arial"/>
                <w:sz w:val="18"/>
                <w:szCs w:val="18"/>
                <w:color w:val="auto"/>
                <w:w w:val="99"/>
              </w:rPr>
              <w:t>Less: weighted average unvested common stock issued upon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880"/>
              <w:spacing w:after="0"/>
              <w:rPr>
                <w:sz w:val="20"/>
                <w:szCs w:val="20"/>
                <w:color w:val="auto"/>
              </w:rPr>
            </w:pPr>
            <w:r>
              <w:rPr>
                <w:rFonts w:ascii="Arial" w:cs="Arial" w:eastAsia="Arial" w:hAnsi="Arial"/>
                <w:sz w:val="18"/>
                <w:szCs w:val="18"/>
                <w:color w:val="auto"/>
              </w:rPr>
              <w:t>early exercise of common stock options</w:t>
            </w:r>
          </w:p>
        </w:tc>
        <w:tc>
          <w:tcPr>
            <w:tcW w:w="1260" w:type="dxa"/>
            <w:vAlign w:val="bottom"/>
            <w:gridSpan w:val="5"/>
          </w:tcPr>
          <w:p>
            <w:pPr>
              <w:jc w:val="right"/>
              <w:ind w:right="300"/>
              <w:spacing w:after="0"/>
              <w:rPr>
                <w:sz w:val="20"/>
                <w:szCs w:val="20"/>
                <w:color w:val="auto"/>
              </w:rPr>
            </w:pPr>
            <w:r>
              <w:rPr>
                <w:rFonts w:ascii="Arial" w:cs="Arial" w:eastAsia="Arial" w:hAnsi="Arial"/>
                <w:sz w:val="18"/>
                <w:szCs w:val="18"/>
                <w:color w:val="auto"/>
              </w:rPr>
              <w:t>(6,143)</w:t>
            </w: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(177,010)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shares used to compute net loss per common share,</w:t>
            </w: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531,832</w:t>
            </w:r>
          </w:p>
        </w:tc>
        <w:tc>
          <w:tcPr>
            <w:tcW w:w="36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773,611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260" w:type="dxa"/>
            <w:vAlign w:val="bottom"/>
            <w:gridSpan w:val="5"/>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8"/>
                <w:szCs w:val="18"/>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176"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9"/>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320" w:type="dxa"/>
            <w:vAlign w:val="bottom"/>
            <w:vMerge w:val="restart"/>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74"/>
              </w:rPr>
              <w:t>2020</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48"/>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3,374,560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10,097,839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Unvested restricted common stock subject to repurchase</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550,329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332,643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Unvested common stock upon early exercise of stock options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328,689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426,773</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865,032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4,364,662</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11,624,203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3800"/>
              <w:spacing w:after="0"/>
              <w:rPr>
                <w:sz w:val="20"/>
                <w:szCs w:val="20"/>
                <w:color w:val="auto"/>
              </w:rPr>
            </w:pPr>
            <w:r>
              <w:rPr>
                <w:rFonts w:ascii="Arial" w:cs="Arial" w:eastAsia="Arial" w:hAnsi="Arial"/>
                <w:sz w:val="18"/>
                <w:szCs w:val="18"/>
                <w:color w:val="auto"/>
              </w:rPr>
              <w:t>F-37</w:t>
            </w: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License Agreement</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May 2019, the Company entered into a license agreement (the “License Agreement”) with Emory University (“Emory”) to obtain rights to certain know-how, patents, and patent applications to pursue the development and commercialization of certain inventions and technology for the treatment of disease. In February 2021, the Company provided 90-day notice to Emory of their decision to voluntarily terminate the License Agreement. There were no milestones payments met or paid in the three months ended March 31, 2021.</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For the purposes of the interim financial statements as of March 31, 2021, the Company has evaluated the subsequent events through May 28, 2021, the date the interim financial statements were issued. The Company has concluded that no subsequent event has occurred that requires disclosure.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Through and including ,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178435</wp:posOffset>
            </wp:positionV>
            <wp:extent cx="1800225" cy="548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002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1143635</wp:posOffset>
            </wp:positionV>
            <wp:extent cx="1405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85725</wp:posOffset>
            </wp:positionV>
            <wp:extent cx="1405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19"/>
        <w:spacing w:after="0"/>
        <w:rPr>
          <w:sz w:val="20"/>
          <w:szCs w:val="20"/>
          <w:color w:val="auto"/>
        </w:rPr>
      </w:pPr>
      <w:r>
        <w:rPr>
          <w:rFonts w:ascii="Arial" w:cs="Arial" w:eastAsia="Arial" w:hAnsi="Arial"/>
          <w:sz w:val="32"/>
          <w:szCs w:val="32"/>
          <w:b w:val="1"/>
          <w:bCs w:val="1"/>
          <w:color w:val="auto"/>
        </w:rPr>
        <w:t>BofA Securities</w:t>
      </w:r>
    </w:p>
    <w:p>
      <w:pPr>
        <w:spacing w:after="0" w:line="213" w:lineRule="exact"/>
        <w:rPr>
          <w:sz w:val="20"/>
          <w:szCs w:val="20"/>
          <w:color w:val="auto"/>
        </w:rPr>
      </w:pPr>
    </w:p>
    <w:p>
      <w:pPr>
        <w:jc w:val="center"/>
        <w:ind w:right="-619"/>
        <w:spacing w:after="0"/>
        <w:rPr>
          <w:sz w:val="20"/>
          <w:szCs w:val="20"/>
          <w:color w:val="auto"/>
        </w:rPr>
      </w:pPr>
      <w:r>
        <w:rPr>
          <w:rFonts w:ascii="Arial" w:cs="Arial" w:eastAsia="Arial" w:hAnsi="Arial"/>
          <w:sz w:val="32"/>
          <w:szCs w:val="32"/>
          <w:b w:val="1"/>
          <w:bCs w:val="1"/>
          <w:color w:val="auto"/>
        </w:rPr>
        <w:t>Jefferies</w:t>
      </w:r>
    </w:p>
    <w:p>
      <w:pPr>
        <w:spacing w:after="0" w:line="213" w:lineRule="exact"/>
        <w:rPr>
          <w:sz w:val="20"/>
          <w:szCs w:val="20"/>
          <w:color w:val="auto"/>
        </w:rPr>
      </w:pPr>
    </w:p>
    <w:p>
      <w:pPr>
        <w:jc w:val="center"/>
        <w:ind w:right="-619"/>
        <w:spacing w:after="0"/>
        <w:rPr>
          <w:sz w:val="20"/>
          <w:szCs w:val="20"/>
          <w:color w:val="auto"/>
        </w:rPr>
      </w:pPr>
      <w:r>
        <w:rPr>
          <w:rFonts w:ascii="Arial" w:cs="Arial" w:eastAsia="Arial" w:hAnsi="Arial"/>
          <w:sz w:val="32"/>
          <w:szCs w:val="32"/>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20"/>
          </w:cols>
          <w:pgMar w:left="320" w:top="459" w:right="9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and the Financial Industry Regulatory Authority, Inc., or FINRA, filing fee.</w:t>
      </w:r>
    </w:p>
    <w:p>
      <w:pPr>
        <w:spacing w:after="0" w:line="19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Amount paid or</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to be paid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FINRA filing fee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Miscellaneous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160"/>
              <w:spacing w:after="0"/>
              <w:rPr>
                <w:sz w:val="20"/>
                <w:szCs w:val="20"/>
                <w:color w:val="auto"/>
              </w:rPr>
            </w:pPr>
            <w:r>
              <w:rPr>
                <w:rFonts w:ascii="Arial" w:cs="Arial" w:eastAsia="Arial" w:hAnsi="Arial"/>
                <w:sz w:val="18"/>
                <w:szCs w:val="18"/>
                <w:color w:val="auto"/>
              </w:rPr>
              <w:t>*  To be provided by amendment.</w:t>
            </w: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77"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Our restated certificate of incorporation provides that we will indemnify each person who was or is a party or threatened to be made a party to any threatened, pending or completed action, suit or proceeding (other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7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7"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Set forth below is information regarding unregistered securities issued by us since our inception on August 2, 2018. Also included is the consideration received by us for such securities and information relating to the section of the Securities Act, or rule of the SEC, under which exemption from registration was claimed.</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 Issuances of Securities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 Between October 2018 and March 2019, the Company entered into SAFEs with investors for an aggregate principal purchase price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$3,214,467. The SAFEs granted investors rights to participate in a future equity financing. In January 2020, the SAFEs converted into 526,074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Series A Preferred Stock at a conversion price of $6.11 per share.</w:t>
      </w:r>
    </w:p>
    <w:p>
      <w:pPr>
        <w:spacing w:after="0" w:line="211" w:lineRule="exact"/>
        <w:rPr>
          <w:sz w:val="20"/>
          <w:szCs w:val="20"/>
          <w:color w:val="auto"/>
        </w:rPr>
      </w:pPr>
    </w:p>
    <w:p>
      <w:pPr>
        <w:ind w:left="120" w:right="140" w:firstLine="877"/>
        <w:spacing w:after="0" w:line="277" w:lineRule="auto"/>
        <w:tabs>
          <w:tab w:leader="none" w:pos="118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January 2020, we issued and sold an aggregate of 2,848,486 Series A preferred shares at a price per share of $8.25 for aggregate cash consideration of approximately $23.5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77"/>
        <w:spacing w:after="0" w:line="277" w:lineRule="auto"/>
        <w:tabs>
          <w:tab w:leader="none" w:pos="11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February 2021, we issued and sold an aggregate of 2,848,486 Series A preferred shares at a price per share of $8.25 for aggregate cash consideration of approximately $23.5 million.</w:t>
      </w:r>
    </w:p>
    <w:p>
      <w:pPr>
        <w:spacing w:after="0" w:line="170" w:lineRule="exact"/>
        <w:rPr>
          <w:rFonts w:ascii="Arial" w:cs="Arial" w:eastAsia="Arial" w:hAnsi="Arial"/>
          <w:sz w:val="18"/>
          <w:szCs w:val="18"/>
          <w:color w:val="auto"/>
        </w:rPr>
      </w:pPr>
    </w:p>
    <w:p>
      <w:pPr>
        <w:ind w:left="120" w:right="320" w:firstLine="877"/>
        <w:spacing w:after="0" w:line="277" w:lineRule="auto"/>
        <w:tabs>
          <w:tab w:leader="none" w:pos="11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March 2021, we issued and sold an aggregate of 3,874,793 Series B preferred shares at a price per share of $27.4337 for aggregate cash consideration of approximately $106.3 million.</w:t>
      </w:r>
    </w:p>
    <w:p>
      <w:pPr>
        <w:spacing w:after="0" w:line="170"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(b) Grants of Restricted Stock and Stock Options</w:t>
      </w:r>
    </w:p>
    <w:p>
      <w:pPr>
        <w:spacing w:after="0" w:line="225"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Since August 2, 2018, we have granted to certain of our directors, employees and consultants (in connection with services provided to us by such persons) options to purchase 1,472,083 shares of our common stock with a weighted average exercise price of $5.57 under the 2020 Plan.</w:t>
      </w:r>
    </w:p>
    <w:p>
      <w:pPr>
        <w:spacing w:after="0" w:line="124"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Since August 2, 2018, the Company has issued 1,085,918 shares of restricted common stock at a price of $0.0001 per share to certain founders of our company, or Founders Shares. In January 2020, in connection with the issuance of our Series A Preferred Stock, certain holders of the Founders Shares agreed to modify their outstanding Founders Stock to include vesting provisions that require continued service to our company in order to vest in those Founders Shares. As of June 30, 2021, 285,492 shares of Founders Stock were subject to such vesting conditions.</w:t>
      </w:r>
    </w:p>
    <w:p>
      <w:pPr>
        <w:spacing w:after="0" w:line="157"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restricted stock, stock options and the common stock issuable upon the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61"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p>
      <w:pPr>
        <w:ind w:left="5480" w:right="1980" w:hanging="4483"/>
        <w:spacing w:after="0" w:line="454" w:lineRule="auto"/>
        <w:tabs>
          <w:tab w:leader="none" w:pos="123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attached to this registration statement, which is incorporated by reference herein.</w:t>
      </w:r>
      <w:r>
        <w:rPr>
          <w:rFonts w:ascii="Arial" w:cs="Arial" w:eastAsia="Arial" w:hAnsi="Arial"/>
          <w:sz w:val="18"/>
          <w:szCs w:val="18"/>
          <w:b w:val="1"/>
          <w:bCs w:val="1"/>
          <w:color w:val="auto"/>
        </w:rPr>
        <w:t xml:space="preserve"> </w:t>
      </w: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877"/>
        <w:spacing w:after="0" w:line="282" w:lineRule="auto"/>
        <w:tabs>
          <w:tab w:leader="none" w:pos="1256"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applicable or is shown in the combined financial statements or notes thereto.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Exhibit Index</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0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Amended and Restated Certificate of Incorporation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Bylaws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97"/>
              </w:rPr>
              <w:t>Form of Amended and Restated Certificate of Incorporation (to be effective immediately prior to the completion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Form of Amended and Restated Bylaws (to be effective immediately prior to the completion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Specimen stock certificate evidencing the shares of common stock</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90"/>
              </w:rPr>
              <w:t>Amended and Restated Investors’ Rights Agreement, dated March 5, 2021, by and among the Registrant and certain of its stockholders</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Tyra Biosciences, Inc. 2020 Equity Incentive Plan and form of stock option agreement thereunder</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w w:val="94"/>
              </w:rPr>
              <w:t>10.2#**</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94"/>
              </w:rPr>
              <w:t>Tyra Biosciences, Inc. 2021 Equity Incentive Plan and form of stock option agreement and form of restricted stock unit agreement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thereunder</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4"/>
              </w:rPr>
              <w:t>10.3#**</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Tyra Biosciences, Inc. 2021 Employee Stock Purchase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4"/>
              </w:rPr>
              <w:t>10.4#**</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Non-Employee Director Compensation Program</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Amended and Restated Employment Agreement, dated January 6, 2020, by and between Todd Harris and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Amended and Restated Employment Agreement, dated January 6, 2020, by and between Dan Bensen and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April 16, 2021, by and between Esther van den Boom and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January 16, 2020, by and between Ronald Swanson and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November 9, 2020, by and between Hiroomi Tada and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January 1, 2021, by and between Robert Hudkins and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January 18, 2021, by and between Piyush Patel and the Registrant</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w w:val="94"/>
              </w:rPr>
              <w:t>10.12**</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89"/>
              </w:rPr>
              <w:t>Office Lease between the Registrant and Hyspan Precision Products Inc., Money Purchase Plan, dated November 14, 2018, as amended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by Amendment Number One dated March 25, 2019</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w w:val="94"/>
              </w:rPr>
              <w:t>10.13**</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93"/>
              </w:rPr>
              <w:t>Office Lease, between the Registrant and Fabric 2656 State, LLC, a California limited liability company, as amended by Addendum</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dated August 5, 2020</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10.14#**</w:t>
            </w: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Form of Indemnification Agreement for Directors and Officers</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20" w:type="dxa"/>
            <w:vAlign w:val="bottom"/>
          </w:tcPr>
          <w:p>
            <w:pPr>
              <w:ind w:left="280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Previously submitted.</w:t>
      </w:r>
    </w:p>
    <w:p>
      <w:pPr>
        <w:spacing w:after="0" w:line="23"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0" w:right="60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24" w:lineRule="exact"/>
        <w:rPr>
          <w:sz w:val="20"/>
          <w:szCs w:val="20"/>
          <w:color w:val="auto"/>
        </w:rPr>
      </w:pPr>
    </w:p>
    <w:p>
      <w:pPr>
        <w:ind w:left="120" w:right="10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undersigned hereby undertakes that:</w:t>
      </w:r>
    </w:p>
    <w:p>
      <w:pPr>
        <w:spacing w:after="0" w:line="225" w:lineRule="exact"/>
        <w:rPr>
          <w:sz w:val="20"/>
          <w:szCs w:val="20"/>
          <w:color w:val="auto"/>
        </w:rPr>
      </w:pPr>
    </w:p>
    <w:p>
      <w:pPr>
        <w:jc w:val="both"/>
        <w:ind w:left="120" w:right="20" w:firstLine="877"/>
        <w:spacing w:after="0" w:line="311" w:lineRule="auto"/>
        <w:tabs>
          <w:tab w:leader="none" w:pos="125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8" w:lineRule="exact"/>
        <w:rPr>
          <w:rFonts w:ascii="Arial" w:cs="Arial" w:eastAsia="Arial" w:hAnsi="Arial"/>
          <w:sz w:val="16"/>
          <w:szCs w:val="16"/>
          <w:color w:val="auto"/>
        </w:rPr>
      </w:pPr>
    </w:p>
    <w:p>
      <w:pPr>
        <w:ind w:left="120" w:firstLine="877"/>
        <w:spacing w:after="0" w:line="263" w:lineRule="auto"/>
        <w:tabs>
          <w:tab w:leader="none" w:pos="12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320" w:top="459" w:right="5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w w:val="91"/>
              </w:rPr>
              <w:t>undersigned, thereunto duly authorized, in the City of Carlsbad, State of California, on this</w:t>
            </w:r>
          </w:p>
        </w:tc>
        <w:tc>
          <w:tcPr>
            <w:tcW w:w="400" w:type="dxa"/>
            <w:vAlign w:val="bottom"/>
          </w:tcPr>
          <w:p>
            <w:pPr>
              <w:spacing w:after="0"/>
              <w:rPr>
                <w:sz w:val="20"/>
                <w:szCs w:val="20"/>
                <w:color w:val="auto"/>
              </w:rPr>
            </w:pPr>
          </w:p>
        </w:tc>
        <w:tc>
          <w:tcPr>
            <w:tcW w:w="4040" w:type="dxa"/>
            <w:vAlign w:val="bottom"/>
          </w:tcPr>
          <w:p>
            <w:pPr>
              <w:jc w:val="right"/>
              <w:ind w:right="2590"/>
              <w:spacing w:after="0"/>
              <w:rPr>
                <w:sz w:val="20"/>
                <w:szCs w:val="20"/>
                <w:color w:val="auto"/>
              </w:rPr>
            </w:pPr>
            <w:r>
              <w:rPr>
                <w:rFonts w:ascii="Arial" w:cs="Arial" w:eastAsia="Arial" w:hAnsi="Arial"/>
                <w:sz w:val="18"/>
                <w:szCs w:val="18"/>
                <w:color w:val="auto"/>
              </w:rPr>
              <w:t>day of   , 2021.</w:t>
            </w:r>
          </w:p>
        </w:tc>
      </w:tr>
      <w:tr>
        <w:trPr>
          <w:trHeight w:val="445"/>
        </w:trPr>
        <w:tc>
          <w:tcPr>
            <w:tcW w:w="6580" w:type="dxa"/>
            <w:vAlign w:val="bottom"/>
          </w:tcPr>
          <w:p>
            <w:pPr>
              <w:spacing w:after="0"/>
              <w:rPr>
                <w:sz w:val="24"/>
                <w:szCs w:val="24"/>
                <w:color w:val="auto"/>
              </w:rPr>
            </w:pPr>
          </w:p>
        </w:tc>
        <w:tc>
          <w:tcPr>
            <w:tcW w:w="4440" w:type="dxa"/>
            <w:vAlign w:val="bottom"/>
            <w:gridSpan w:val="2"/>
          </w:tcPr>
          <w:p>
            <w:pPr>
              <w:ind w:left="40"/>
              <w:spacing w:after="0"/>
              <w:rPr>
                <w:sz w:val="20"/>
                <w:szCs w:val="20"/>
                <w:color w:val="auto"/>
              </w:rPr>
            </w:pPr>
            <w:r>
              <w:rPr>
                <w:rFonts w:ascii="Arial" w:cs="Arial" w:eastAsia="Arial" w:hAnsi="Arial"/>
                <w:sz w:val="18"/>
                <w:szCs w:val="18"/>
                <w:color w:val="auto"/>
              </w:rPr>
              <w:t>TYRA BIOSCIENCES, INC.</w:t>
            </w:r>
          </w:p>
        </w:tc>
      </w:tr>
      <w:tr>
        <w:trPr>
          <w:trHeight w:val="432"/>
        </w:trPr>
        <w:tc>
          <w:tcPr>
            <w:tcW w:w="6580" w:type="dxa"/>
            <w:vAlign w:val="bottom"/>
          </w:tcPr>
          <w:p>
            <w:pPr>
              <w:spacing w:after="0"/>
              <w:rPr>
                <w:sz w:val="24"/>
                <w:szCs w:val="24"/>
                <w:color w:val="auto"/>
              </w:rPr>
            </w:pPr>
          </w:p>
        </w:tc>
        <w:tc>
          <w:tcPr>
            <w:tcW w:w="4440" w:type="dxa"/>
            <w:vAlign w:val="bottom"/>
            <w:gridSpan w:val="2"/>
          </w:tcPr>
          <w:p>
            <w:pPr>
              <w:ind w:left="40"/>
              <w:spacing w:after="0"/>
              <w:rPr>
                <w:sz w:val="20"/>
                <w:szCs w:val="20"/>
                <w:color w:val="auto"/>
              </w:rPr>
            </w:pPr>
            <w:r>
              <w:rPr>
                <w:rFonts w:ascii="Arial" w:cs="Arial" w:eastAsia="Arial" w:hAnsi="Arial"/>
                <w:sz w:val="18"/>
                <w:szCs w:val="18"/>
                <w:color w:val="auto"/>
              </w:rPr>
              <w:t>By:</w:t>
            </w:r>
          </w:p>
        </w:tc>
      </w:tr>
      <w:tr>
        <w:trPr>
          <w:trHeight w:val="209"/>
        </w:trPr>
        <w:tc>
          <w:tcPr>
            <w:tcW w:w="6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40" w:type="dxa"/>
            <w:vAlign w:val="bottom"/>
            <w:tcBorders>
              <w:top w:val="single" w:sz="8" w:color="auto"/>
            </w:tcBorders>
          </w:tcPr>
          <w:p>
            <w:pPr>
              <w:jc w:val="right"/>
              <w:ind w:right="2590"/>
              <w:spacing w:after="0"/>
              <w:rPr>
                <w:sz w:val="20"/>
                <w:szCs w:val="20"/>
                <w:color w:val="auto"/>
              </w:rPr>
            </w:pPr>
            <w:r>
              <w:rPr>
                <w:rFonts w:ascii="Arial" w:cs="Arial" w:eastAsia="Arial" w:hAnsi="Arial"/>
                <w:sz w:val="18"/>
                <w:szCs w:val="18"/>
                <w:color w:val="auto"/>
                <w:w w:val="89"/>
              </w:rPr>
              <w:t>Todd Harris, Ph.D.</w:t>
            </w:r>
          </w:p>
        </w:tc>
      </w:tr>
      <w:tr>
        <w:trPr>
          <w:trHeight w:val="230"/>
        </w:trPr>
        <w:tc>
          <w:tcPr>
            <w:tcW w:w="6580" w:type="dxa"/>
            <w:vAlign w:val="bottom"/>
          </w:tcPr>
          <w:p>
            <w:pPr>
              <w:spacing w:after="0"/>
              <w:rPr>
                <w:sz w:val="20"/>
                <w:szCs w:val="20"/>
                <w:color w:val="auto"/>
              </w:rPr>
            </w:pPr>
          </w:p>
        </w:tc>
        <w:tc>
          <w:tcPr>
            <w:tcW w:w="4440" w:type="dxa"/>
            <w:vAlign w:val="bottom"/>
            <w:gridSpan w:val="2"/>
          </w:tcPr>
          <w:p>
            <w:pPr>
              <w:ind w:left="40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Todd Harris and Esther van den Boom, and each of them, his or her true and lawful agent, proxy and attorney-in-fact, with full power of substitution and resubstitution, for him or her and in his or her name, place and stead, in any and all capacities, to (i) act on, sign and file with the U.S.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6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jc w:val="center"/>
        <w:ind w:left="740"/>
        <w:spacing w:after="0"/>
        <w:rPr>
          <w:sz w:val="20"/>
          <w:szCs w:val="20"/>
          <w:color w:val="auto"/>
        </w:rPr>
      </w:pPr>
      <w:r>
        <w:rPr>
          <w:rFonts w:ascii="Arial" w:cs="Arial" w:eastAsia="Arial" w:hAnsi="Arial"/>
          <w:sz w:val="13"/>
          <w:szCs w:val="13"/>
          <w:b w:val="1"/>
          <w:bCs w:val="1"/>
          <w:u w:val="single" w:color="auto"/>
          <w:color w:val="auto"/>
        </w:rPr>
        <w:t>Signature</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3317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3317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Isan Chen,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3317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Gilla Kaplan,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3317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Nina Kjellson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3317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Melissa McCracken,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3317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Robert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3317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spacing w:after="0"/>
              <w:rPr>
                <w:sz w:val="14"/>
                <w:szCs w:val="14"/>
                <w:color w:val="auto"/>
              </w:rPr>
            </w:pPr>
          </w:p>
        </w:tc>
      </w:tr>
      <w:tr>
        <w:trPr>
          <w:trHeight w:val="411"/>
        </w:trPr>
        <w:tc>
          <w:tcPr>
            <w:tcW w:w="476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 Director</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5"/>
        </w:trPr>
        <w:tc>
          <w:tcPr>
            <w:tcW w:w="47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9"/>
        </w:trPr>
        <w:tc>
          <w:tcPr>
            <w:tcW w:w="47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675"/>
        </w:trPr>
        <w:tc>
          <w:tcPr>
            <w:tcW w:w="47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675"/>
        </w:trPr>
        <w:tc>
          <w:tcPr>
            <w:tcW w:w="47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675"/>
        </w:trPr>
        <w:tc>
          <w:tcPr>
            <w:tcW w:w="47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675"/>
        </w:trPr>
        <w:tc>
          <w:tcPr>
            <w:tcW w:w="47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2">
            <w:col w:w="3180" w:space="720"/>
            <w:col w:w="7240"/>
          </w:cols>
          <w:pgMar w:left="320" w:top="459" w:right="43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40" w:type="dxa"/>
            <w:vAlign w:val="bottom"/>
            <w:gridSpan w:val="2"/>
          </w:tcPr>
          <w:p>
            <w:pPr>
              <w:ind w:left="1540"/>
              <w:spacing w:after="0"/>
              <w:rPr>
                <w:sz w:val="20"/>
                <w:szCs w:val="20"/>
                <w:color w:val="auto"/>
              </w:rPr>
            </w:pPr>
            <w:r>
              <w:rPr>
                <w:rFonts w:ascii="Arial" w:cs="Arial" w:eastAsia="Arial" w:hAnsi="Arial"/>
                <w:sz w:val="14"/>
                <w:szCs w:val="14"/>
                <w:b w:val="1"/>
                <w:bCs w:val="1"/>
                <w:color w:val="auto"/>
                <w:w w:val="89"/>
              </w:rPr>
              <w:t>Signature</w:t>
            </w:r>
          </w:p>
        </w:tc>
        <w:tc>
          <w:tcPr>
            <w:tcW w:w="1520" w:type="dxa"/>
            <w:vAlign w:val="bottom"/>
          </w:tcPr>
          <w:p>
            <w:pPr>
              <w:spacing w:after="0"/>
              <w:rPr>
                <w:sz w:val="14"/>
                <w:szCs w:val="14"/>
                <w:color w:val="auto"/>
              </w:rPr>
            </w:pPr>
          </w:p>
        </w:tc>
        <w:tc>
          <w:tcPr>
            <w:tcW w:w="2780" w:type="dxa"/>
            <w:vAlign w:val="bottom"/>
            <w:gridSpan w:val="2"/>
          </w:tcPr>
          <w:p>
            <w:pPr>
              <w:ind w:left="2480"/>
              <w:spacing w:after="0"/>
              <w:rPr>
                <w:sz w:val="20"/>
                <w:szCs w:val="20"/>
                <w:color w:val="auto"/>
              </w:rPr>
            </w:pPr>
            <w:r>
              <w:rPr>
                <w:rFonts w:ascii="Arial" w:cs="Arial" w:eastAsia="Arial" w:hAnsi="Arial"/>
                <w:sz w:val="14"/>
                <w:szCs w:val="14"/>
                <w:b w:val="1"/>
                <w:bCs w:val="1"/>
                <w:color w:val="auto"/>
                <w:w w:val="97"/>
              </w:rPr>
              <w:t>Title</w:t>
            </w:r>
          </w:p>
        </w:tc>
        <w:tc>
          <w:tcPr>
            <w:tcW w:w="424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Date</w:t>
            </w:r>
          </w:p>
        </w:tc>
      </w:tr>
      <w:tr>
        <w:trPr>
          <w:trHeight w:val="425"/>
        </w:trPr>
        <w:tc>
          <w:tcPr>
            <w:tcW w:w="15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2021</w:t>
            </w:r>
          </w:p>
        </w:tc>
      </w:tr>
      <w:tr>
        <w:trPr>
          <w:trHeight w:val="224"/>
        </w:trPr>
        <w:tc>
          <w:tcPr>
            <w:tcW w:w="2140" w:type="dxa"/>
            <w:vAlign w:val="bottom"/>
            <w:gridSpan w:val="2"/>
          </w:tcPr>
          <w:p>
            <w:pPr>
              <w:spacing w:after="0"/>
              <w:rPr>
                <w:sz w:val="20"/>
                <w:szCs w:val="20"/>
                <w:color w:val="auto"/>
              </w:rPr>
            </w:pPr>
            <w:r>
              <w:rPr>
                <w:rFonts w:ascii="Arial" w:cs="Arial" w:eastAsia="Arial" w:hAnsi="Arial"/>
                <w:sz w:val="18"/>
                <w:szCs w:val="18"/>
                <w:color w:val="auto"/>
              </w:rPr>
              <w:t>Jake Simson, Ph.D.</w:t>
            </w:r>
          </w:p>
        </w:tc>
        <w:tc>
          <w:tcPr>
            <w:tcW w:w="1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2140" w:type="dxa"/>
            <w:vAlign w:val="bottom"/>
            <w:gridSpan w:val="2"/>
          </w:tcPr>
          <w:p>
            <w:pPr>
              <w:spacing w:after="0"/>
              <w:rPr>
                <w:sz w:val="20"/>
                <w:szCs w:val="20"/>
                <w:color w:val="auto"/>
              </w:rPr>
            </w:pPr>
            <w:r>
              <w:rPr>
                <w:rFonts w:ascii="Arial" w:cs="Arial" w:eastAsia="Arial" w:hAnsi="Arial"/>
                <w:sz w:val="18"/>
                <w:szCs w:val="18"/>
                <w:color w:val="auto"/>
                <w:w w:val="96"/>
              </w:rPr>
              <w:t>Siddarth Subramony, Ph.D.</w:t>
            </w:r>
          </w:p>
        </w:tc>
        <w:tc>
          <w:tcPr>
            <w:tcW w:w="1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2140" w:type="dxa"/>
            <w:vAlign w:val="bottom"/>
            <w:gridSpan w:val="2"/>
          </w:tcPr>
          <w:p>
            <w:pPr>
              <w:spacing w:after="0"/>
              <w:rPr>
                <w:sz w:val="20"/>
                <w:szCs w:val="20"/>
                <w:color w:val="auto"/>
              </w:rPr>
            </w:pPr>
            <w:r>
              <w:rPr>
                <w:rFonts w:ascii="Arial" w:cs="Arial" w:eastAsia="Arial" w:hAnsi="Arial"/>
                <w:sz w:val="18"/>
                <w:szCs w:val="18"/>
                <w:color w:val="auto"/>
              </w:rPr>
              <w:t>Rehan Verjee</w:t>
            </w:r>
          </w:p>
        </w:tc>
        <w:tc>
          <w:tcPr>
            <w:tcW w:w="1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0800"/>
          </w:cols>
          <w:pgMar w:left="320" w:top="459" w:right="77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21"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TYRA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85725</wp:posOffset>
            </wp:positionV>
            <wp:extent cx="1474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0"/>
          <w:szCs w:val="20"/>
          <w:color w:val="auto"/>
        </w:rPr>
      </w:pPr>
    </w:p>
    <w:p>
      <w:pPr>
        <w:ind w:left="4464"/>
        <w:spacing w:after="0"/>
        <w:rPr>
          <w:sz w:val="20"/>
          <w:szCs w:val="20"/>
          <w:color w:val="auto"/>
        </w:rPr>
      </w:pPr>
      <w:r>
        <w:rPr>
          <w:rFonts w:ascii="Arial" w:cs="Arial" w:eastAsia="Arial" w:hAnsi="Arial"/>
          <w:sz w:val="18"/>
          <w:szCs w:val="18"/>
          <w:b w:val="1"/>
          <w:bCs w:val="1"/>
          <w:color w:val="auto"/>
        </w:rPr>
        <w:t>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85725</wp:posOffset>
            </wp:positionV>
            <wp:extent cx="1474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0"/>
          <w:szCs w:val="20"/>
          <w:color w:val="auto"/>
        </w:rPr>
      </w:pPr>
    </w:p>
    <w:p>
      <w:pPr>
        <w:ind w:left="3504"/>
        <w:spacing w:after="0"/>
        <w:rPr>
          <w:sz w:val="20"/>
          <w:szCs w:val="20"/>
          <w:color w:val="auto"/>
        </w:rPr>
      </w:pPr>
      <w:r>
        <w:rPr>
          <w:rFonts w:ascii="Arial" w:cs="Arial" w:eastAsia="Arial" w:hAnsi="Arial"/>
          <w:sz w:val="18"/>
          <w:szCs w:val="18"/>
          <w:b w:val="1"/>
          <w:bCs w:val="1"/>
          <w:color w:val="auto"/>
        </w:rPr>
        <w:t>Adopted by the Board of Directors: January 6, 2020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January 6,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Termination Date: January 6, 2030</w:t>
      </w:r>
    </w:p>
    <w:p>
      <w:pPr>
        <w:spacing w:after="0" w:line="207" w:lineRule="exact"/>
        <w:rPr>
          <w:sz w:val="20"/>
          <w:szCs w:val="20"/>
          <w:color w:val="auto"/>
        </w:rPr>
      </w:pPr>
    </w:p>
    <w:p>
      <w:pPr>
        <w:ind w:left="184" w:hanging="184"/>
        <w:spacing w:after="0"/>
        <w:tabs>
          <w:tab w:leader="none" w:pos="184"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29" w:lineRule="exact"/>
        <w:rPr>
          <w:rFonts w:ascii="Arial" w:cs="Arial" w:eastAsia="Arial" w:hAnsi="Arial"/>
          <w:sz w:val="18"/>
          <w:szCs w:val="18"/>
          <w:color w:val="auto"/>
        </w:rPr>
      </w:pPr>
    </w:p>
    <w:p>
      <w:pPr>
        <w:ind w:left="4" w:right="80" w:firstLine="436"/>
        <w:spacing w:after="0" w:line="259" w:lineRule="auto"/>
        <w:tabs>
          <w:tab w:leader="none" w:pos="689" w:val="left"/>
        </w:tabs>
        <w:numPr>
          <w:ilvl w:val="1"/>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Tyra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establishes this 2019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This Plan is intended: (i)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and retain the best available personnel to ensure the Company’s success and accomplish the Company’s goals; (ii) to incentivize Employees, Directors, and Consultants with long-term equity-based compensation to align their interests with the interests of the Company’s stockholders; and (iii) to promote the success of the Company’s business.</w:t>
      </w:r>
    </w:p>
    <w:p>
      <w:pPr>
        <w:spacing w:after="0" w:line="186" w:lineRule="exact"/>
        <w:rPr>
          <w:rFonts w:ascii="Arial" w:cs="Arial" w:eastAsia="Arial" w:hAnsi="Arial"/>
          <w:sz w:val="18"/>
          <w:szCs w:val="18"/>
          <w:color w:val="auto"/>
        </w:rPr>
      </w:pPr>
    </w:p>
    <w:p>
      <w:pPr>
        <w:ind w:left="4" w:right="280" w:firstLine="436"/>
        <w:spacing w:after="0" w:line="263" w:lineRule="auto"/>
        <w:tabs>
          <w:tab w:leader="none" w:pos="699" w:val="left"/>
        </w:tabs>
        <w:numPr>
          <w:ilvl w:val="1"/>
          <w:numId w:val="125"/>
        </w:numPr>
        <w:rPr>
          <w:rFonts w:ascii="Arial" w:cs="Arial" w:eastAsia="Arial" w:hAnsi="Arial"/>
          <w:sz w:val="18"/>
          <w:szCs w:val="18"/>
          <w:color w:val="auto"/>
        </w:rPr>
      </w:pPr>
      <w:r>
        <w:rPr>
          <w:rFonts w:ascii="Arial" w:cs="Arial" w:eastAsia="Arial" w:hAnsi="Arial"/>
          <w:sz w:val="18"/>
          <w:szCs w:val="18"/>
          <w:i w:val="1"/>
          <w:iCs w:val="1"/>
          <w:color w:val="auto"/>
        </w:rPr>
        <w:t>Eligible Award Recipients</w:t>
      </w:r>
      <w:r>
        <w:rPr>
          <w:rFonts w:ascii="Arial" w:cs="Arial" w:eastAsia="Arial" w:hAnsi="Arial"/>
          <w:sz w:val="18"/>
          <w:szCs w:val="18"/>
          <w:color w:val="auto"/>
        </w:rPr>
        <w:t>. Employees, Consultants, Directors, or non-Employees, non-Consultants, non-Directors to whom an offer of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relationship as an Employee, Consultant, or Director, Investor Director Provider, has been or is being extended (together, “</w:t>
      </w:r>
      <w:r>
        <w:rPr>
          <w:rFonts w:ascii="Arial" w:cs="Arial" w:eastAsia="Arial" w:hAnsi="Arial"/>
          <w:sz w:val="18"/>
          <w:szCs w:val="18"/>
          <w:b w:val="1"/>
          <w:bCs w:val="1"/>
          <w:i w:val="1"/>
          <w:iCs w:val="1"/>
          <w:color w:val="auto"/>
        </w:rPr>
        <w:t>Eligible Persons</w:t>
      </w:r>
      <w:r>
        <w:rPr>
          <w:rFonts w:ascii="Arial" w:cs="Arial" w:eastAsia="Arial" w:hAnsi="Arial"/>
          <w:sz w:val="18"/>
          <w:szCs w:val="18"/>
          <w:color w:val="auto"/>
        </w:rPr>
        <w:t>”) may receive Awards, subject to the terms of this Plan.</w:t>
      </w:r>
    </w:p>
    <w:p>
      <w:pPr>
        <w:spacing w:after="0" w:line="183" w:lineRule="exact"/>
        <w:rPr>
          <w:rFonts w:ascii="Arial" w:cs="Arial" w:eastAsia="Arial" w:hAnsi="Arial"/>
          <w:sz w:val="18"/>
          <w:szCs w:val="18"/>
          <w:color w:val="auto"/>
        </w:rPr>
      </w:pPr>
    </w:p>
    <w:p>
      <w:pPr>
        <w:ind w:left="684" w:hanging="244"/>
        <w:spacing w:after="0"/>
        <w:tabs>
          <w:tab w:leader="none" w:pos="684" w:val="left"/>
        </w:tabs>
        <w:numPr>
          <w:ilvl w:val="1"/>
          <w:numId w:val="125"/>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Capitalized terms in this Plan are defined in Section 23.</w:t>
      </w:r>
    </w:p>
    <w:p>
      <w:pPr>
        <w:spacing w:after="0" w:line="225" w:lineRule="exact"/>
        <w:rPr>
          <w:rFonts w:ascii="Arial" w:cs="Arial" w:eastAsia="Arial" w:hAnsi="Arial"/>
          <w:sz w:val="18"/>
          <w:szCs w:val="18"/>
          <w:color w:val="auto"/>
        </w:rPr>
      </w:pPr>
    </w:p>
    <w:p>
      <w:pPr>
        <w:ind w:left="4" w:right="100" w:firstLine="436"/>
        <w:spacing w:after="0" w:line="263" w:lineRule="auto"/>
        <w:tabs>
          <w:tab w:leader="none" w:pos="699" w:val="left"/>
        </w:tabs>
        <w:numPr>
          <w:ilvl w:val="1"/>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This Plan shall become effective on the date it is approved by a majority of votes cast at a duly held meeting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(or by such other stockholder vote that the Committee determines to be sufficient for the issuance of Shares and Awards according to the Company’s governing documents and Applicable Law).</w:t>
      </w:r>
    </w:p>
    <w:p>
      <w:pPr>
        <w:spacing w:after="0" w:line="183" w:lineRule="exact"/>
        <w:rPr>
          <w:rFonts w:ascii="Arial" w:cs="Arial" w:eastAsia="Arial" w:hAnsi="Arial"/>
          <w:sz w:val="18"/>
          <w:szCs w:val="18"/>
          <w:color w:val="auto"/>
        </w:rPr>
      </w:pPr>
    </w:p>
    <w:p>
      <w:pPr>
        <w:ind w:left="4" w:right="260" w:firstLine="436"/>
        <w:spacing w:after="0" w:line="308" w:lineRule="auto"/>
        <w:tabs>
          <w:tab w:leader="none" w:pos="689" w:val="left"/>
        </w:tabs>
        <w:numPr>
          <w:ilvl w:val="1"/>
          <w:numId w:val="125"/>
        </w:numPr>
        <w:rPr>
          <w:rFonts w:ascii="Arial" w:cs="Arial" w:eastAsia="Arial" w:hAnsi="Arial"/>
          <w:sz w:val="17"/>
          <w:szCs w:val="17"/>
          <w:color w:val="auto"/>
        </w:rPr>
      </w:pPr>
      <w:r>
        <w:rPr>
          <w:rFonts w:ascii="Arial" w:cs="Arial" w:eastAsia="Arial" w:hAnsi="Arial"/>
          <w:sz w:val="17"/>
          <w:szCs w:val="17"/>
          <w:i w:val="1"/>
          <w:iCs w:val="1"/>
          <w:color w:val="auto"/>
        </w:rPr>
        <w:t>Effect on Other Plans, Awards, and Arrangements</w:t>
      </w:r>
      <w:r>
        <w:rPr>
          <w:rFonts w:ascii="Arial" w:cs="Arial" w:eastAsia="Arial" w:hAnsi="Arial"/>
          <w:sz w:val="17"/>
          <w:szCs w:val="17"/>
          <w:color w:val="auto"/>
        </w:rPr>
        <w:t>. No payment pursuant to this Plan shall be taken into account in determining any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any Company or Affiliate benefit plan, except to the extent otherwise expressly provided in writing in such other plan.</w:t>
      </w:r>
    </w:p>
    <w:p>
      <w:pPr>
        <w:spacing w:after="0" w:line="142" w:lineRule="exact"/>
        <w:rPr>
          <w:rFonts w:ascii="Arial" w:cs="Arial" w:eastAsia="Arial" w:hAnsi="Arial"/>
          <w:sz w:val="17"/>
          <w:szCs w:val="17"/>
          <w:color w:val="auto"/>
        </w:rPr>
      </w:pPr>
    </w:p>
    <w:p>
      <w:pPr>
        <w:ind w:left="184" w:hanging="184"/>
        <w:spacing w:after="0"/>
        <w:tabs>
          <w:tab w:leader="none" w:pos="184"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Types of Awards</w:t>
      </w:r>
      <w:r>
        <w:rPr>
          <w:rFonts w:ascii="Arial" w:cs="Arial" w:eastAsia="Arial" w:hAnsi="Arial"/>
          <w:sz w:val="18"/>
          <w:szCs w:val="18"/>
          <w:color w:val="auto"/>
        </w:rPr>
        <w:t>. The Company may grant the following types of Awards under this Plan:</w:t>
      </w:r>
    </w:p>
    <w:p>
      <w:pPr>
        <w:sectPr>
          <w:pgSz w:w="11900" w:h="16838" w:orient="portrait"/>
          <w:cols w:equalWidth="0" w:num="1">
            <w:col w:w="11024"/>
          </w:cols>
          <w:pgMar w:left="436" w:top="125" w:right="439" w:bottom="1440" w:gutter="0" w:footer="0" w:header="0"/>
        </w:sectPr>
      </w:pPr>
    </w:p>
    <w:p>
      <w:pPr>
        <w:spacing w:after="0" w:line="256"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Options</w:t>
      </w:r>
    </w:p>
    <w:p>
      <w:pPr>
        <w:spacing w:after="0" w:line="23"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Share Appreciation Rights (“</w:t>
      </w:r>
      <w:r>
        <w:rPr>
          <w:rFonts w:ascii="Arial" w:cs="Arial" w:eastAsia="Arial" w:hAnsi="Arial"/>
          <w:sz w:val="18"/>
          <w:szCs w:val="18"/>
          <w:b w:val="1"/>
          <w:bCs w:val="1"/>
          <w:i w:val="1"/>
          <w:iCs w:val="1"/>
          <w:color w:val="auto"/>
        </w:rPr>
        <w:t>SARs</w:t>
      </w:r>
      <w:r>
        <w:rPr>
          <w:rFonts w:ascii="Arial" w:cs="Arial" w:eastAsia="Arial" w:hAnsi="Arial"/>
          <w:sz w:val="18"/>
          <w:szCs w:val="18"/>
          <w:color w:val="auto"/>
        </w:rPr>
        <w:t>”)</w:t>
      </w:r>
    </w:p>
    <w:p>
      <w:pPr>
        <w:spacing w:after="0" w:line="9" w:lineRule="exact"/>
        <w:rPr>
          <w:sz w:val="20"/>
          <w:szCs w:val="20"/>
          <w:color w:val="auto"/>
        </w:rPr>
      </w:pPr>
    </w:p>
    <w:p>
      <w:pPr>
        <w:ind w:left="1764"/>
        <w:spacing w:after="0"/>
        <w:rPr>
          <w:sz w:val="20"/>
          <w:szCs w:val="20"/>
          <w:color w:val="auto"/>
        </w:rPr>
      </w:pPr>
      <w:r>
        <w:rPr>
          <w:rFonts w:ascii="Arial" w:cs="Arial" w:eastAsia="Arial" w:hAnsi="Arial"/>
          <w:sz w:val="16"/>
          <w:szCs w:val="16"/>
          <w:color w:val="auto"/>
        </w:rPr>
        <w:t>Restricted Shares, Restricted Share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and Unrestricted Shares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Section 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Section 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7</w:t>
      </w:r>
    </w:p>
    <w:p>
      <w:pPr>
        <w:spacing w:after="0" w:line="200" w:lineRule="exact"/>
        <w:rPr>
          <w:sz w:val="20"/>
          <w:szCs w:val="20"/>
          <w:color w:val="auto"/>
        </w:rPr>
      </w:pPr>
    </w:p>
    <w:p>
      <w:pPr>
        <w:sectPr>
          <w:pgSz w:w="11900" w:h="16838" w:orient="portrait"/>
          <w:cols w:equalWidth="0" w:num="2">
            <w:col w:w="7784" w:space="720"/>
            <w:col w:w="2520"/>
          </w:cols>
          <w:pgMar w:left="436" w:top="125" w:right="439" w:bottom="1440" w:gutter="0" w:footer="0" w:header="0"/>
          <w:type w:val="continuous"/>
        </w:sectPr>
      </w:pPr>
    </w:p>
    <w:p>
      <w:pPr>
        <w:spacing w:after="0" w:line="30" w:lineRule="exact"/>
        <w:rPr>
          <w:sz w:val="20"/>
          <w:szCs w:val="20"/>
          <w:color w:val="auto"/>
        </w:rPr>
      </w:pPr>
    </w:p>
    <w:p>
      <w:pPr>
        <w:ind w:left="184" w:hanging="184"/>
        <w:spacing w:after="0"/>
        <w:tabs>
          <w:tab w:leader="none" w:pos="184"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Available for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right="360" w:firstLine="436"/>
        <w:spacing w:after="0" w:line="263" w:lineRule="auto"/>
        <w:tabs>
          <w:tab w:leader="none" w:pos="689"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Share Reserve; In General. </w:t>
      </w:r>
      <w:r>
        <w:rPr>
          <w:rFonts w:ascii="Arial" w:cs="Arial" w:eastAsia="Arial" w:hAnsi="Arial"/>
          <w:sz w:val="18"/>
          <w:szCs w:val="18"/>
          <w:color w:val="auto"/>
        </w:rPr>
        <w:t>A total of 532,164 Shares may be issued under this Plan, subject to Section 12 below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deliverable pursuant to Awards shall be authorized but unissued or reacquired Shares, including Shares that the Company repurchased on the open market or otherwise, or that the Company otherwise holds in treasury or trust.</w:t>
      </w:r>
    </w:p>
    <w:p>
      <w:pPr>
        <w:spacing w:after="0" w:line="183" w:lineRule="exact"/>
        <w:rPr>
          <w:rFonts w:ascii="Arial" w:cs="Arial" w:eastAsia="Arial" w:hAnsi="Arial"/>
          <w:sz w:val="18"/>
          <w:szCs w:val="18"/>
          <w:color w:val="auto"/>
        </w:rPr>
      </w:pPr>
    </w:p>
    <w:p>
      <w:pPr>
        <w:ind w:left="4" w:right="380" w:firstLine="436"/>
        <w:spacing w:after="0" w:line="277" w:lineRule="auto"/>
        <w:tabs>
          <w:tab w:leader="none" w:pos="699"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Replenishment; Counting of Shares. </w:t>
      </w:r>
      <w:r>
        <w:rPr>
          <w:rFonts w:ascii="Arial" w:cs="Arial" w:eastAsia="Arial" w:hAnsi="Arial"/>
          <w:sz w:val="18"/>
          <w:szCs w:val="18"/>
          <w:color w:val="auto"/>
        </w:rPr>
        <w:t>Any Shares reserved for a given Award will again be available for future Awards if the Shares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will never be issued to a Participant or</w:t>
      </w:r>
    </w:p>
    <w:p>
      <w:pPr>
        <w:sectPr>
          <w:pgSz w:w="11900" w:h="16838" w:orient="portrait"/>
          <w:cols w:equalWidth="0" w:num="1">
            <w:col w:w="11024"/>
          </w:cols>
          <w:pgMar w:left="436" w:top="125" w:right="439" w:bottom="1440" w:gutter="0" w:footer="0" w:header="0"/>
          <w:type w:val="continuous"/>
        </w:sectPr>
      </w:pPr>
    </w:p>
    <w:bookmarkStart w:id="247" w:name="page248"/>
    <w:bookmarkEnd w:id="247"/>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Beneficiary (</w:t>
      </w:r>
      <w:r>
        <w:rPr>
          <w:rFonts w:ascii="Arial" w:cs="Arial" w:eastAsia="Arial" w:hAnsi="Arial"/>
          <w:sz w:val="18"/>
          <w:szCs w:val="18"/>
          <w:i w:val="1"/>
          <w:iCs w:val="1"/>
          <w:color w:val="auto"/>
        </w:rPr>
        <w:t>e.g.</w:t>
      </w:r>
      <w:r>
        <w:rPr>
          <w:rFonts w:ascii="Arial" w:cs="Arial" w:eastAsia="Arial" w:hAnsi="Arial"/>
          <w:sz w:val="18"/>
          <w:szCs w:val="18"/>
          <w:color w:val="auto"/>
        </w:rPr>
        <w:t>, due to the Award’s forfeiture, cancellation, or expiration, or pursuant to an Award providing for settlement solely in cash rather than in Shares). Further, and to the extent permitted under Applicable Law, the Share Reserve shall not be reduced by any Shares issued under this Plan through the settlement, assumption, or substitution of outstanding awards or obligations to grant future awards as a condition of the Company’s or an Affiliate’s acquiring another entity or by any Shares issued under this Plan as “inducement grants” under applicable listing rules, if any. Furthermore, Shares withheld in payment of the exercise price or taxes relating to an Award and Shares equal to the number surrendered in payment of any exercise price or Withholding Taxes relating to an Award shall be deemed to not constitute Shares delivered to the Participant and shall again be available for Awards under the Plan.</w:t>
      </w:r>
    </w:p>
    <w:p>
      <w:pPr>
        <w:spacing w:after="0" w:line="195" w:lineRule="exact"/>
        <w:rPr>
          <w:sz w:val="20"/>
          <w:szCs w:val="20"/>
          <w:color w:val="auto"/>
        </w:rPr>
      </w:pPr>
    </w:p>
    <w:p>
      <w:pPr>
        <w:ind w:left="4" w:right="260" w:firstLine="436"/>
        <w:spacing w:after="0" w:line="277" w:lineRule="auto"/>
        <w:tabs>
          <w:tab w:leader="none" w:pos="689" w:val="left"/>
        </w:tabs>
        <w:numPr>
          <w:ilvl w:val="1"/>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ISO Share Reserve. </w:t>
      </w:r>
      <w:r>
        <w:rPr>
          <w:rFonts w:ascii="Arial" w:cs="Arial" w:eastAsia="Arial" w:hAnsi="Arial"/>
          <w:sz w:val="18"/>
          <w:szCs w:val="18"/>
          <w:color w:val="auto"/>
        </w:rPr>
        <w:t>The number of Shares that are available for ISO Awards shall not exceed 532,164 Shares (as adjusted under 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and to the full extent allowable under Treas. Reg. § 1.422-2(b)(3)(iii) as in effect on the Effective Date).</w:t>
      </w:r>
    </w:p>
    <w:p>
      <w:pPr>
        <w:spacing w:after="0" w:line="166" w:lineRule="exact"/>
        <w:rPr>
          <w:rFonts w:ascii="Arial" w:cs="Arial" w:eastAsia="Arial" w:hAnsi="Arial"/>
          <w:sz w:val="18"/>
          <w:szCs w:val="18"/>
          <w:color w:val="auto"/>
        </w:rPr>
      </w:pPr>
    </w:p>
    <w:p>
      <w:pPr>
        <w:ind w:left="184" w:hanging="184"/>
        <w:spacing w:after="0"/>
        <w:tabs>
          <w:tab w:leader="none" w:pos="184"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right="20" w:firstLine="436"/>
        <w:spacing w:after="0" w:line="301" w:lineRule="auto"/>
        <w:tabs>
          <w:tab w:leader="none" w:pos="689" w:val="left"/>
        </w:tabs>
        <w:numPr>
          <w:ilvl w:val="1"/>
          <w:numId w:val="128"/>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The Committee shall determine which Eligible Persons may receive Awards. Each Award shall be evidenced by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that sets forth the Grant Date and all other terms and conditions of the Award, is signed on behalf of the Company, and (unless waived by the Committee) is signed by the Eligible Person in acceptance of the Award. The grant of an Award shall not obligate the Company or any Affiliate to continue the employment or service of any Eligible Person, or to provide any future Awards or other remuneration at any time thereafter.</w:t>
      </w:r>
    </w:p>
    <w:p>
      <w:pPr>
        <w:spacing w:after="0" w:line="157" w:lineRule="exact"/>
        <w:rPr>
          <w:rFonts w:ascii="Arial" w:cs="Arial" w:eastAsia="Arial" w:hAnsi="Arial"/>
          <w:sz w:val="16"/>
          <w:szCs w:val="16"/>
          <w:color w:val="auto"/>
        </w:rPr>
      </w:pPr>
    </w:p>
    <w:p>
      <w:pPr>
        <w:ind w:left="4" w:right="20" w:firstLine="436"/>
        <w:spacing w:after="0" w:line="263" w:lineRule="auto"/>
        <w:tabs>
          <w:tab w:leader="none" w:pos="699"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Consultants. </w:t>
      </w:r>
      <w:r>
        <w:rPr>
          <w:rFonts w:ascii="Arial" w:cs="Arial" w:eastAsia="Arial" w:hAnsi="Arial"/>
          <w:sz w:val="18"/>
          <w:szCs w:val="18"/>
          <w:color w:val="auto"/>
        </w:rPr>
        <w:t>A Consultant is eligible for an Award only if, at grant, the offer and/or sale of Company securities to the Consultant is exempt</w:t>
      </w:r>
      <w:r>
        <w:rPr>
          <w:rFonts w:ascii="Arial" w:cs="Arial" w:eastAsia="Arial" w:hAnsi="Arial"/>
          <w:sz w:val="18"/>
          <w:szCs w:val="18"/>
          <w:i w:val="1"/>
          <w:iCs w:val="1"/>
          <w:color w:val="auto"/>
        </w:rPr>
        <w:t xml:space="preserve"> </w:t>
      </w:r>
      <w:r>
        <w:rPr>
          <w:rFonts w:ascii="Arial" w:cs="Arial" w:eastAsia="Arial" w:hAnsi="Arial"/>
          <w:sz w:val="18"/>
          <w:szCs w:val="18"/>
          <w:color w:val="auto"/>
        </w:rPr>
        <w:t>under Rule 701, unless the Company determines the grant need not comply with Rule 701 and will satisfy another exemption under the Securities Act of 1933, as amended, and comply with all other Applicable Law.</w:t>
      </w:r>
    </w:p>
    <w:p>
      <w:pPr>
        <w:spacing w:after="0" w:line="183" w:lineRule="exact"/>
        <w:rPr>
          <w:rFonts w:ascii="Arial" w:cs="Arial" w:eastAsia="Arial" w:hAnsi="Arial"/>
          <w:sz w:val="18"/>
          <w:szCs w:val="18"/>
          <w:color w:val="auto"/>
        </w:rPr>
      </w:pPr>
    </w:p>
    <w:p>
      <w:pPr>
        <w:jc w:val="both"/>
        <w:ind w:left="4" w:firstLine="436"/>
        <w:spacing w:after="0" w:line="301" w:lineRule="auto"/>
        <w:tabs>
          <w:tab w:leader="none" w:pos="689" w:val="left"/>
        </w:tabs>
        <w:numPr>
          <w:ilvl w:val="1"/>
          <w:numId w:val="128"/>
        </w:numPr>
        <w:rPr>
          <w:rFonts w:ascii="Arial" w:cs="Arial" w:eastAsia="Arial" w:hAnsi="Arial"/>
          <w:sz w:val="16"/>
          <w:szCs w:val="16"/>
          <w:color w:val="auto"/>
        </w:rPr>
      </w:pPr>
      <w:r>
        <w:rPr>
          <w:rFonts w:ascii="Arial" w:cs="Arial" w:eastAsia="Arial" w:hAnsi="Arial"/>
          <w:sz w:val="16"/>
          <w:szCs w:val="16"/>
          <w:i w:val="1"/>
          <w:iCs w:val="1"/>
          <w:color w:val="auto"/>
        </w:rPr>
        <w:t xml:space="preserve">Service to Parent Companies. </w:t>
      </w:r>
      <w:r>
        <w:rPr>
          <w:rFonts w:ascii="Arial" w:cs="Arial" w:eastAsia="Arial" w:hAnsi="Arial"/>
          <w:sz w:val="16"/>
          <w:szCs w:val="16"/>
          <w:color w:val="auto"/>
        </w:rPr>
        <w:t>Awards may not be granted to Employees, Directors and Consultants who are providing Continuous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only to any “parent” of the Company, as defined in Rule 405, unless (i) the stock underlying the Awards is treated as “service recipient stock” under Code Section 409A (for example, because the Awards are granted pursuant to a corporate transaction such as a spin off transaction), or (ii) the Company, in consultation with its legal counsel, has determined that the Awards are otherwise exempt from or alternatively comply with Code Section 409A.</w:t>
      </w:r>
    </w:p>
    <w:p>
      <w:pPr>
        <w:spacing w:after="0" w:line="157" w:lineRule="exact"/>
        <w:rPr>
          <w:rFonts w:ascii="Arial" w:cs="Arial" w:eastAsia="Arial" w:hAnsi="Arial"/>
          <w:sz w:val="16"/>
          <w:szCs w:val="16"/>
          <w:color w:val="auto"/>
        </w:rPr>
      </w:pPr>
    </w:p>
    <w:p>
      <w:pPr>
        <w:ind w:left="4" w:right="40" w:firstLine="436"/>
        <w:spacing w:after="0" w:line="277" w:lineRule="auto"/>
        <w:tabs>
          <w:tab w:leader="none" w:pos="699"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Award Limits per Person. </w:t>
      </w:r>
      <w:r>
        <w:rPr>
          <w:rFonts w:ascii="Arial" w:cs="Arial" w:eastAsia="Arial" w:hAnsi="Arial"/>
          <w:sz w:val="18"/>
          <w:szCs w:val="18"/>
          <w:color w:val="auto"/>
        </w:rPr>
        <w:t>With respect to each calendar year during the term of this Plan, no Participant may receive Share-settled Awards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relate to more than [●] Shares as adjusted under Section 12.</w:t>
      </w:r>
    </w:p>
    <w:p>
      <w:pPr>
        <w:spacing w:after="0" w:line="170" w:lineRule="exact"/>
        <w:rPr>
          <w:rFonts w:ascii="Arial" w:cs="Arial" w:eastAsia="Arial" w:hAnsi="Arial"/>
          <w:sz w:val="18"/>
          <w:szCs w:val="18"/>
          <w:color w:val="auto"/>
        </w:rPr>
      </w:pPr>
    </w:p>
    <w:p>
      <w:pPr>
        <w:ind w:left="4" w:right="260" w:firstLine="436"/>
        <w:spacing w:after="0" w:line="263" w:lineRule="auto"/>
        <w:tabs>
          <w:tab w:leader="none" w:pos="689"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Replacement Awards</w:t>
      </w:r>
      <w:r>
        <w:rPr>
          <w:rFonts w:ascii="Arial" w:cs="Arial" w:eastAsia="Arial" w:hAnsi="Arial"/>
          <w:sz w:val="18"/>
          <w:szCs w:val="18"/>
          <w:color w:val="auto"/>
        </w:rPr>
        <w:t>. Subject to Applicable Law (including any stockholder approval requirements), in the Committee’s sole discretion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upon terms it deems appropriate, the Committee may grant an Award to a Participant on the condition that the Participant consent to surrender for cancellation Awards received under this Plan or otherwise.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48" w:name="page249"/>
    <w:bookmarkEnd w:id="248"/>
    <w:p>
      <w:pPr>
        <w:ind w:left="184" w:hanging="184"/>
        <w:spacing w:after="0"/>
        <w:tabs>
          <w:tab w:leader="none" w:pos="184"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right="80" w:firstLine="436"/>
        <w:spacing w:after="0" w:line="255" w:lineRule="auto"/>
        <w:tabs>
          <w:tab w:leader="none" w:pos="689" w:val="left"/>
        </w:tabs>
        <w:numPr>
          <w:ilvl w:val="1"/>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For Eligible Persons who are subject to U.S. taxation, Options only may be granted if the Eligible Person is providing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or any of its subsidiaries such as to qualify the Company as an eligible issuer of service recipient stock within the meaning of Code Section 409A, unless the Award is an ISO. Subject to the special rules for ISOs set forth in Section 5(b) below, the Committee may grant Options to Eligible Persons pursuant to Award Agreements setting forth the type of Option (ISO or Non-ISO) and terms and conditions for exercisability, vesting, and other requirements consistent with this Plan, as the Board deems appropriate, and that may differ for any reason between Eligible Persons,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in all instances that:</w:t>
      </w:r>
    </w:p>
    <w:p>
      <w:pPr>
        <w:spacing w:after="0" w:line="97" w:lineRule="exact"/>
        <w:rPr>
          <w:rFonts w:ascii="Arial" w:cs="Arial" w:eastAsia="Arial" w:hAnsi="Arial"/>
          <w:sz w:val="18"/>
          <w:szCs w:val="18"/>
          <w:color w:val="auto"/>
        </w:rPr>
      </w:pPr>
    </w:p>
    <w:p>
      <w:pPr>
        <w:ind w:left="1424" w:right="100" w:hanging="439"/>
        <w:spacing w:after="0" w:line="311" w:lineRule="auto"/>
        <w:tabs>
          <w:tab w:leader="none" w:pos="1424" w:val="left"/>
        </w:tabs>
        <w:numPr>
          <w:ilvl w:val="2"/>
          <w:numId w:val="129"/>
        </w:numPr>
        <w:rPr>
          <w:rFonts w:ascii="Arial" w:cs="Arial" w:eastAsia="Arial" w:hAnsi="Arial"/>
          <w:sz w:val="16"/>
          <w:szCs w:val="16"/>
          <w:color w:val="auto"/>
        </w:rPr>
      </w:pPr>
      <w:r>
        <w:rPr>
          <w:rFonts w:ascii="Arial" w:cs="Arial" w:eastAsia="Arial" w:hAnsi="Arial"/>
          <w:sz w:val="16"/>
          <w:szCs w:val="16"/>
          <w:color w:val="auto"/>
        </w:rPr>
        <w:t>the exercise price of each Option shall be at least 100% of the Fair Market Value of the underlying Shares on the Grant Date (except the exercise price may be lower than 100% of such Fair Market Value if the Award replaces a previously issued Option or SAR or the Award is designated as a “</w:t>
      </w:r>
      <w:r>
        <w:rPr>
          <w:rFonts w:ascii="Arial" w:cs="Arial" w:eastAsia="Arial" w:hAnsi="Arial"/>
          <w:sz w:val="16"/>
          <w:szCs w:val="16"/>
          <w:b w:val="1"/>
          <w:bCs w:val="1"/>
          <w:i w:val="1"/>
          <w:iCs w:val="1"/>
          <w:color w:val="auto"/>
        </w:rPr>
        <w:t>Section 409A Award</w:t>
      </w:r>
      <w:r>
        <w:rPr>
          <w:rFonts w:ascii="Arial" w:cs="Arial" w:eastAsia="Arial" w:hAnsi="Arial"/>
          <w:sz w:val="16"/>
          <w:szCs w:val="16"/>
          <w:color w:val="auto"/>
        </w:rPr>
        <w:t>” and has either a fixed exercise date or a fixed delivery date); and</w:t>
      </w:r>
    </w:p>
    <w:p>
      <w:pPr>
        <w:spacing w:after="0" w:line="54" w:lineRule="exact"/>
        <w:rPr>
          <w:rFonts w:ascii="Arial" w:cs="Arial" w:eastAsia="Arial" w:hAnsi="Arial"/>
          <w:sz w:val="16"/>
          <w:szCs w:val="16"/>
          <w:color w:val="auto"/>
        </w:rPr>
      </w:pPr>
    </w:p>
    <w:p>
      <w:pPr>
        <w:ind w:left="1424" w:hanging="439"/>
        <w:spacing w:after="0"/>
        <w:tabs>
          <w:tab w:leader="none" w:pos="1424" w:val="left"/>
        </w:tabs>
        <w:numPr>
          <w:ilvl w:val="2"/>
          <w:numId w:val="129"/>
        </w:numPr>
        <w:rPr>
          <w:rFonts w:ascii="Arial" w:cs="Arial" w:eastAsia="Arial" w:hAnsi="Arial"/>
          <w:sz w:val="16"/>
          <w:szCs w:val="16"/>
          <w:color w:val="auto"/>
        </w:rPr>
      </w:pPr>
      <w:r>
        <w:rPr>
          <w:rFonts w:ascii="Arial" w:cs="Arial" w:eastAsia="Arial" w:hAnsi="Arial"/>
          <w:sz w:val="16"/>
          <w:szCs w:val="16"/>
          <w:color w:val="auto"/>
        </w:rPr>
        <w:t>no Option can be exercised beyond ten years after its Grant Date (or any such shorter period specified in the Award Agreement).</w:t>
      </w:r>
    </w:p>
    <w:p>
      <w:pPr>
        <w:spacing w:after="0" w:line="248" w:lineRule="exact"/>
        <w:rPr>
          <w:rFonts w:ascii="Arial" w:cs="Arial" w:eastAsia="Arial" w:hAnsi="Arial"/>
          <w:sz w:val="16"/>
          <w:szCs w:val="16"/>
          <w:color w:val="auto"/>
        </w:rPr>
      </w:pPr>
    </w:p>
    <w:p>
      <w:pPr>
        <w:ind w:left="4" w:right="160" w:firstLine="436"/>
        <w:spacing w:after="0" w:line="277" w:lineRule="auto"/>
        <w:tabs>
          <w:tab w:leader="none" w:pos="699" w:val="left"/>
        </w:tabs>
        <w:numPr>
          <w:ilvl w:val="1"/>
          <w:numId w:val="129"/>
        </w:numPr>
        <w:rPr>
          <w:rFonts w:ascii="Arial" w:cs="Arial" w:eastAsia="Arial" w:hAnsi="Arial"/>
          <w:sz w:val="18"/>
          <w:szCs w:val="18"/>
          <w:color w:val="auto"/>
        </w:rPr>
      </w:pPr>
      <w:r>
        <w:rPr>
          <w:rFonts w:ascii="Arial" w:cs="Arial" w:eastAsia="Arial" w:hAnsi="Arial"/>
          <w:sz w:val="18"/>
          <w:szCs w:val="18"/>
          <w:i w:val="1"/>
          <w:iCs w:val="1"/>
          <w:color w:val="auto"/>
        </w:rPr>
        <w:t>Special ISO Provisions</w:t>
      </w:r>
      <w:r>
        <w:rPr>
          <w:rFonts w:ascii="Arial" w:cs="Arial" w:eastAsia="Arial" w:hAnsi="Arial"/>
          <w:sz w:val="18"/>
          <w:szCs w:val="18"/>
          <w:color w:val="auto"/>
        </w:rPr>
        <w:t>. ISOs may not be granted more than ten years after Board approval of this Plan. The following provisions control any</w:t>
      </w:r>
      <w:r>
        <w:rPr>
          <w:rFonts w:ascii="Arial" w:cs="Arial" w:eastAsia="Arial" w:hAnsi="Arial"/>
          <w:sz w:val="18"/>
          <w:szCs w:val="18"/>
          <w:i w:val="1"/>
          <w:iCs w:val="1"/>
          <w:color w:val="auto"/>
        </w:rPr>
        <w:t xml:space="preserve"> </w:t>
      </w:r>
      <w:r>
        <w:rPr>
          <w:rFonts w:ascii="Arial" w:cs="Arial" w:eastAsia="Arial" w:hAnsi="Arial"/>
          <w:sz w:val="18"/>
          <w:szCs w:val="18"/>
          <w:color w:val="auto"/>
        </w:rPr>
        <w:t>ISO grants:</w:t>
      </w:r>
    </w:p>
    <w:p>
      <w:pPr>
        <w:spacing w:after="0" w:line="75" w:lineRule="exact"/>
        <w:rPr>
          <w:rFonts w:ascii="Arial" w:cs="Arial" w:eastAsia="Arial" w:hAnsi="Arial"/>
          <w:sz w:val="18"/>
          <w:szCs w:val="18"/>
          <w:color w:val="auto"/>
        </w:rPr>
      </w:pPr>
    </w:p>
    <w:p>
      <w:pPr>
        <w:ind w:left="1424" w:right="580" w:hanging="439"/>
        <w:spacing w:after="0" w:line="308" w:lineRule="auto"/>
        <w:tabs>
          <w:tab w:leader="none" w:pos="1424" w:val="left"/>
        </w:tabs>
        <w:numPr>
          <w:ilvl w:val="2"/>
          <w:numId w:val="129"/>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The Committee may grant ISOs only to Employees (including officers who are Employees) of the Company or an Affiliate that is a “parent corporation” or “subsidiary corporation” within the meaning of Code Section 424.</w:t>
      </w:r>
    </w:p>
    <w:p>
      <w:pPr>
        <w:spacing w:after="0" w:line="51" w:lineRule="exact"/>
        <w:rPr>
          <w:rFonts w:ascii="Arial" w:cs="Arial" w:eastAsia="Arial" w:hAnsi="Arial"/>
          <w:sz w:val="17"/>
          <w:szCs w:val="17"/>
          <w:color w:val="auto"/>
        </w:rPr>
      </w:pPr>
    </w:p>
    <w:p>
      <w:pPr>
        <w:ind w:left="1424" w:hanging="439"/>
        <w:spacing w:after="0" w:line="279" w:lineRule="auto"/>
        <w:tabs>
          <w:tab w:leader="none" w:pos="1424" w:val="left"/>
        </w:tabs>
        <w:numPr>
          <w:ilvl w:val="2"/>
          <w:numId w:val="129"/>
        </w:numPr>
        <w:rPr>
          <w:rFonts w:ascii="Arial" w:cs="Arial" w:eastAsia="Arial" w:hAnsi="Arial"/>
          <w:sz w:val="17"/>
          <w:szCs w:val="17"/>
          <w:color w:val="auto"/>
        </w:rPr>
      </w:pPr>
      <w:r>
        <w:rPr>
          <w:rFonts w:ascii="Arial" w:cs="Arial" w:eastAsia="Arial" w:hAnsi="Arial"/>
          <w:sz w:val="17"/>
          <w:szCs w:val="17"/>
          <w:u w:val="single" w:color="auto"/>
          <w:color w:val="auto"/>
        </w:rPr>
        <w:t>Documentation</w:t>
      </w:r>
      <w:r>
        <w:rPr>
          <w:rFonts w:ascii="Arial" w:cs="Arial" w:eastAsia="Arial" w:hAnsi="Arial"/>
          <w:sz w:val="17"/>
          <w:szCs w:val="17"/>
          <w:color w:val="auto"/>
        </w:rPr>
        <w:t xml:space="preserve">. Each Option intended to be an ISO must be specifically designated in the Award Agreement as an ISO;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xml:space="preserve"> that any Option designated as an ISO will be a Non-ISO to the extent the Option fails to meet the requirements of Code Section 422 or the provisions of this Section 5(b). In the case of an ISO, the Committee shall determine on the Grant Date the acceptable methods of paying the exercise price for Shares, and it shall be included in the Award Agreement.</w:t>
      </w:r>
    </w:p>
    <w:p>
      <w:pPr>
        <w:spacing w:after="0" w:line="76" w:lineRule="exact"/>
        <w:rPr>
          <w:rFonts w:ascii="Arial" w:cs="Arial" w:eastAsia="Arial" w:hAnsi="Arial"/>
          <w:sz w:val="17"/>
          <w:szCs w:val="17"/>
          <w:color w:val="auto"/>
        </w:rPr>
      </w:pPr>
    </w:p>
    <w:p>
      <w:pPr>
        <w:ind w:left="1424" w:right="140" w:hanging="439"/>
        <w:spacing w:after="0" w:line="275" w:lineRule="auto"/>
        <w:tabs>
          <w:tab w:leader="none" w:pos="1424" w:val="left"/>
        </w:tabs>
        <w:numPr>
          <w:ilvl w:val="2"/>
          <w:numId w:val="129"/>
        </w:numPr>
        <w:rPr>
          <w:rFonts w:ascii="Arial" w:cs="Arial" w:eastAsia="Arial" w:hAnsi="Arial"/>
          <w:sz w:val="17"/>
          <w:szCs w:val="17"/>
          <w:color w:val="auto"/>
        </w:rPr>
      </w:pPr>
      <w:r>
        <w:rPr>
          <w:rFonts w:ascii="Arial" w:cs="Arial" w:eastAsia="Arial" w:hAnsi="Arial"/>
          <w:sz w:val="17"/>
          <w:szCs w:val="17"/>
          <w:u w:val="single" w:color="auto"/>
          <w:color w:val="auto"/>
        </w:rPr>
        <w:t>$100,000 Limit</w:t>
      </w:r>
      <w:r>
        <w:rPr>
          <w:rFonts w:ascii="Arial" w:cs="Arial" w:eastAsia="Arial" w:hAnsi="Arial"/>
          <w:sz w:val="17"/>
          <w:szCs w:val="17"/>
          <w:color w:val="auto"/>
        </w:rPr>
        <w:t>. To the extent that the aggregate Fair Market Value (determined at the Grant Date) of Shares with respect to which ISOs are exercisable for the first time by a Participant during any calendar year (under all plans of the Company and any Affiliates) exceeds $100,000 (or other limit established in the Code), the excess Options shall be treated as Non-ISOs (starting with the most recently granted Options), notwithstanding anything to the contrary in an Award Agreement. If the limitations of Code Section 422 are amended, the limitations of this subsection automatically shall be adjusted accordingly.</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249" w:name="page250"/>
    <w:bookmarkEnd w:id="249"/>
    <w:p>
      <w:pPr>
        <w:ind w:left="1380" w:hanging="439"/>
        <w:spacing w:after="0"/>
        <w:tabs>
          <w:tab w:leader="none" w:pos="1380" w:val="left"/>
        </w:tabs>
        <w:numPr>
          <w:ilvl w:val="2"/>
          <w:numId w:val="13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Grants to Ten Percent Holders</w:t>
      </w:r>
      <w:r>
        <w:rPr>
          <w:rFonts w:ascii="Arial" w:cs="Arial" w:eastAsia="Arial" w:hAnsi="Arial"/>
          <w:sz w:val="17"/>
          <w:szCs w:val="17"/>
          <w:color w:val="auto"/>
        </w:rPr>
        <w:t>. An ISO may be granted to an Employee who is a Ten Percent Holder on the Grant Date only if</w:t>
      </w:r>
    </w:p>
    <w:p>
      <w:pPr>
        <w:spacing w:after="0" w:line="34" w:lineRule="exact"/>
        <w:rPr>
          <w:rFonts w:ascii="Arial" w:cs="Arial" w:eastAsia="Arial" w:hAnsi="Arial"/>
          <w:sz w:val="17"/>
          <w:szCs w:val="17"/>
          <w:color w:val="auto"/>
        </w:rPr>
      </w:pPr>
    </w:p>
    <w:p>
      <w:pPr>
        <w:ind w:left="1380"/>
        <w:spacing w:after="0" w:line="255" w:lineRule="auto"/>
        <w:rPr>
          <w:rFonts w:ascii="Arial" w:cs="Arial" w:eastAsia="Arial" w:hAnsi="Arial"/>
          <w:sz w:val="17"/>
          <w:szCs w:val="17"/>
          <w:color w:val="auto"/>
        </w:rPr>
      </w:pPr>
      <w:r>
        <w:rPr>
          <w:rFonts w:ascii="Arial" w:cs="Arial" w:eastAsia="Arial" w:hAnsi="Arial"/>
          <w:sz w:val="18"/>
          <w:szCs w:val="18"/>
          <w:color w:val="auto"/>
        </w:rPr>
        <w:t>(A) the term of the ISO is no more than five years from the Grant Date, and (B) the exercise price is at least 110% of the Fair Market Value of the underlying Shares on the Grant Date. If the limitations in Code Section 422 are amended, the limitations of this subsection automatically shall be adjusted accordingly.</w:t>
      </w:r>
    </w:p>
    <w:p>
      <w:pPr>
        <w:spacing w:after="0" w:line="95" w:lineRule="exact"/>
        <w:rPr>
          <w:rFonts w:ascii="Arial" w:cs="Arial" w:eastAsia="Arial" w:hAnsi="Arial"/>
          <w:sz w:val="17"/>
          <w:szCs w:val="17"/>
          <w:color w:val="auto"/>
        </w:rPr>
      </w:pPr>
    </w:p>
    <w:p>
      <w:pPr>
        <w:ind w:left="1380" w:right="80" w:hanging="439"/>
        <w:spacing w:after="0" w:line="272" w:lineRule="auto"/>
        <w:tabs>
          <w:tab w:leader="none" w:pos="1380" w:val="left"/>
        </w:tabs>
        <w:numPr>
          <w:ilvl w:val="2"/>
          <w:numId w:val="130"/>
        </w:numPr>
        <w:rPr>
          <w:rFonts w:ascii="Arial" w:cs="Arial" w:eastAsia="Arial" w:hAnsi="Arial"/>
          <w:sz w:val="17"/>
          <w:szCs w:val="17"/>
          <w:color w:val="auto"/>
        </w:rPr>
      </w:pPr>
      <w:r>
        <w:rPr>
          <w:rFonts w:ascii="Arial" w:cs="Arial" w:eastAsia="Arial" w:hAnsi="Arial"/>
          <w:sz w:val="17"/>
          <w:szCs w:val="17"/>
          <w:u w:val="single" w:color="auto"/>
          <w:color w:val="auto"/>
        </w:rPr>
        <w:t>Substitution of Options</w:t>
      </w:r>
      <w:r>
        <w:rPr>
          <w:rFonts w:ascii="Arial" w:cs="Arial" w:eastAsia="Arial" w:hAnsi="Arial"/>
          <w:sz w:val="17"/>
          <w:szCs w:val="17"/>
          <w:color w:val="auto"/>
        </w:rPr>
        <w:t xml:space="preserve">. If the Company or an Affiliate acquires (whether by purchase, merger, or otherwise) all or substantially all outstanding capital stock or assets of another corporation, or in the event of any reorganization or other transaction qualifying under Code Section 424, the Committee may, in accordance with the provisions of that Code Section, substitute ISOs for ISOs previously granted under the plan of the acquired company or its affiliate,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xml:space="preserve"> (A) the excess of the aggregate Fair Market Value of the Shares subject to an ISO immediately after the substitution over the aggregate exercise price of such shares is not more than the similar excess immediately before the substitution, and (B) the new ISO does not give additional benefits to the Participant, including any extension of the exercise period.</w:t>
      </w:r>
    </w:p>
    <w:p>
      <w:pPr>
        <w:spacing w:after="0" w:line="82" w:lineRule="exact"/>
        <w:rPr>
          <w:rFonts w:ascii="Arial" w:cs="Arial" w:eastAsia="Arial" w:hAnsi="Arial"/>
          <w:sz w:val="17"/>
          <w:szCs w:val="17"/>
          <w:color w:val="auto"/>
        </w:rPr>
      </w:pPr>
    </w:p>
    <w:p>
      <w:pPr>
        <w:ind w:left="1380" w:right="40" w:hanging="439"/>
        <w:spacing w:after="0" w:line="257" w:lineRule="auto"/>
        <w:tabs>
          <w:tab w:leader="none" w:pos="1380" w:val="left"/>
        </w:tabs>
        <w:numPr>
          <w:ilvl w:val="2"/>
          <w:numId w:val="130"/>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Dispositions</w:t>
      </w:r>
      <w:r>
        <w:rPr>
          <w:rFonts w:ascii="Arial" w:cs="Arial" w:eastAsia="Arial" w:hAnsi="Arial"/>
          <w:sz w:val="18"/>
          <w:szCs w:val="18"/>
          <w:color w:val="auto"/>
        </w:rPr>
        <w:t>. By executing an ISO Award Agreement, a Participant agrees to notify the Company in writing immediately after the Participant sells, transfers or otherwise disposes of any Shares acquired through exercise of the ISO, if such disposition occurs within either of (A) two years of the Grant Date, or (B) one year after the exercise of the ISO being exercised. Each Participant further agrees to provide any information about a disposition of Shares as may be requested by the Company to assist it in complying with any Applicable Laws.</w:t>
      </w:r>
    </w:p>
    <w:p>
      <w:pPr>
        <w:spacing w:after="0" w:line="187" w:lineRule="exact"/>
        <w:rPr>
          <w:rFonts w:ascii="Arial" w:cs="Arial" w:eastAsia="Arial" w:hAnsi="Arial"/>
          <w:sz w:val="18"/>
          <w:szCs w:val="18"/>
          <w:color w:val="auto"/>
        </w:rPr>
      </w:pPr>
    </w:p>
    <w:p>
      <w:pPr>
        <w:ind w:left="-40" w:right="180" w:firstLine="436"/>
        <w:spacing w:after="0" w:line="275" w:lineRule="auto"/>
        <w:tabs>
          <w:tab w:leader="none" w:pos="645"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Method of Exercise. </w:t>
      </w:r>
      <w:r>
        <w:rPr>
          <w:rFonts w:ascii="Arial" w:cs="Arial" w:eastAsia="Arial" w:hAnsi="Arial"/>
          <w:sz w:val="17"/>
          <w:szCs w:val="17"/>
          <w:color w:val="auto"/>
        </w:rPr>
        <w:t>Unless otherwise provided in an Award Agreement, each Option may be exercised in whole or in part (</w:t>
      </w:r>
      <w:r>
        <w:rPr>
          <w:rFonts w:ascii="Arial" w:cs="Arial" w:eastAsia="Arial" w:hAnsi="Arial"/>
          <w:sz w:val="17"/>
          <w:szCs w:val="17"/>
          <w:b w:val="1"/>
          <w:bCs w:val="1"/>
          <w:i w:val="1"/>
          <w:iCs w:val="1"/>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not be required to issue fractional shares) before it expires, but only pursuant to the applicable Award Agreement, and not during any exercise blackout periods the Committee implements from time to time in its sole discretion. Exercise shall occur by delivery of both written notice of exercise to the secretary of the Company, and payment of the full exercise price for the Shares being purchased. The methods of payment that the Committee may in its discretion accept or commit to accept in an Award Agreement include:</w:t>
      </w:r>
    </w:p>
    <w:p>
      <w:pPr>
        <w:spacing w:after="0" w:line="68" w:lineRule="exact"/>
        <w:rPr>
          <w:rFonts w:ascii="Arial" w:cs="Arial" w:eastAsia="Arial" w:hAnsi="Arial"/>
          <w:sz w:val="17"/>
          <w:szCs w:val="17"/>
          <w:color w:val="auto"/>
        </w:rPr>
      </w:pPr>
    </w:p>
    <w:p>
      <w:pPr>
        <w:ind w:left="1040" w:hanging="221"/>
        <w:spacing w:after="0"/>
        <w:tabs>
          <w:tab w:leader="none" w:pos="10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cash or check payable to the Company (in U.S. dollars);</w:t>
      </w:r>
    </w:p>
    <w:p>
      <w:pPr>
        <w:spacing w:after="0" w:line="117" w:lineRule="exact"/>
        <w:rPr>
          <w:rFonts w:ascii="Arial" w:cs="Arial" w:eastAsia="Arial" w:hAnsi="Arial"/>
          <w:sz w:val="18"/>
          <w:szCs w:val="18"/>
          <w:color w:val="auto"/>
        </w:rPr>
      </w:pPr>
    </w:p>
    <w:p>
      <w:pPr>
        <w:jc w:val="both"/>
        <w:ind w:left="400" w:right="40" w:firstLine="419"/>
        <w:spacing w:after="0" w:line="273" w:lineRule="auto"/>
        <w:tabs>
          <w:tab w:leader="none" w:pos="108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other Shares that (A) are owned by the Participant who is purchasing Shares pursuant to an Option, (B) have a Fair Market Value on the date of surrender equal to the aggregate exercise price of the Shares as to which the Option is being exercised, (C) at the time of the surrender, are all free and clear of any and all claims, pledges, liens and encumbrances, or any restrictions which would in any manner restrict the transfer of such shares to or by the Company (other than such restrictions as may have existed prior to an issuance of such Shares by the Company to the Participant), and (D) are duly endorsed for transfer to the Company;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xml:space="preserve"> that doing so would not violate the provisions of any Applicable Law or agreement restricting the redemption of the Company’s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80" w:top="274" w:right="479" w:bottom="1440" w:gutter="0" w:footer="0" w:header="0"/>
        </w:sectPr>
      </w:pPr>
    </w:p>
    <w:bookmarkStart w:id="250" w:name="page251"/>
    <w:bookmarkEnd w:id="250"/>
    <w:p>
      <w:pPr>
        <w:ind w:left="440" w:right="100" w:firstLine="419"/>
        <w:spacing w:after="0" w:line="254" w:lineRule="auto"/>
        <w:tabs>
          <w:tab w:leader="none" w:pos="11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net exercise by surrendering to the Company Shares otherwise receivable upon exercise of the Option (</w:t>
      </w:r>
      <w:r>
        <w:rPr>
          <w:rFonts w:ascii="Arial" w:cs="Arial" w:eastAsia="Arial" w:hAnsi="Arial"/>
          <w:sz w:val="18"/>
          <w:szCs w:val="18"/>
          <w:i w:val="1"/>
          <w:iCs w:val="1"/>
          <w:color w:val="auto"/>
        </w:rPr>
        <w:t>e.g</w:t>
      </w:r>
      <w:r>
        <w:rPr>
          <w:rFonts w:ascii="Arial" w:cs="Arial" w:eastAsia="Arial" w:hAnsi="Arial"/>
          <w:sz w:val="18"/>
          <w:szCs w:val="18"/>
          <w:color w:val="auto"/>
        </w:rPr>
        <w:t xml:space="preserve">., the Company will reduce the number of Shares issued upon exercise of the Option by the largest whole number of shares with a Fair Market Value that does not exceed the aggregate exercise price);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the Company consents at the time of exercise, the Option is a Non-ISO, the Participant must pay any remaining balance of the aggregate exercise price not satisfied by the “net exercise” in cash or other permitted form of payment, and Shares will no longer be outstanding under the Option and will not be exercisable thereafter if those Shares (i) are used to pay the exercise price pursuant to the “net exercise,” (ii) are delivered to the Participant as a result of such exercise, or (iii) are withheld to satisfy the Participant’s Withholding Taxes;</w:t>
      </w:r>
    </w:p>
    <w:p>
      <w:pPr>
        <w:spacing w:after="0" w:line="86" w:lineRule="exact"/>
        <w:rPr>
          <w:rFonts w:ascii="Arial" w:cs="Arial" w:eastAsia="Arial" w:hAnsi="Arial"/>
          <w:sz w:val="18"/>
          <w:szCs w:val="18"/>
          <w:color w:val="auto"/>
        </w:rPr>
      </w:pPr>
    </w:p>
    <w:p>
      <w:pPr>
        <w:ind w:left="440" w:right="80" w:firstLine="419"/>
        <w:spacing w:after="0" w:line="257"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cashless exercise program that the Committee may approve, from time to time in its discretion, pursuant to which a Participant may elect to concurrently provide irrevocable instructions (A) to the Participant’s broker or dealer to effect the immediate sale of the purchased Shares and remit to the Company, out of the sale proceeds available on the settlement date, sufficient funds to cover the exercise price of the Option plus all applicable Withholding Taxes, and (B) to the Company to deliver the certificates for the purchased Shares directly to the broker or dealer in order to complete the sale;</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any other form of legal consideration acceptable to the Committee in its sole discretion.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shall not be required to deliver Shares pursuant to the exercise of an Option and an Option will be deemed unexercised until the Company has received sufficient funds or value to cover the full exercise price due and all applicable Withholding Taxes.</w:t>
      </w:r>
    </w:p>
    <w:p>
      <w:pPr>
        <w:spacing w:after="0" w:line="170"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Notwithstanding anything in this Plan to the contrary, no Participant who is a Director or an “executive officer” of the Company within the meaning of Section 13(k) of the Exchange Act can make payment with respect to any Awards, or continue any extension of credit with respect to such payment with a loan from the Company or a loan arranged by the Company in violation of Section 13(k) of the Exchange Act.</w:t>
      </w:r>
    </w:p>
    <w:p>
      <w:pPr>
        <w:spacing w:after="0" w:line="165" w:lineRule="exact"/>
        <w:rPr>
          <w:sz w:val="20"/>
          <w:szCs w:val="20"/>
          <w:color w:val="auto"/>
        </w:rPr>
      </w:pPr>
    </w:p>
    <w:p>
      <w:pPr>
        <w:ind w:right="120" w:firstLine="436"/>
        <w:spacing w:after="0" w:line="342" w:lineRule="auto"/>
        <w:tabs>
          <w:tab w:leader="none" w:pos="695"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Exercise of Unvested Non-ISOs</w:t>
      </w:r>
      <w:r>
        <w:rPr>
          <w:rFonts w:ascii="Arial" w:cs="Arial" w:eastAsia="Arial" w:hAnsi="Arial"/>
          <w:sz w:val="16"/>
          <w:szCs w:val="16"/>
          <w:color w:val="auto"/>
        </w:rPr>
        <w:t>. The Committee may in its sole discretion set forth in an Award Agreement that a Participant may exercise an</w:t>
      </w:r>
      <w:r>
        <w:rPr>
          <w:rFonts w:ascii="Arial" w:cs="Arial" w:eastAsia="Arial" w:hAnsi="Arial"/>
          <w:sz w:val="16"/>
          <w:szCs w:val="16"/>
          <w:i w:val="1"/>
          <w:iCs w:val="1"/>
          <w:color w:val="auto"/>
        </w:rPr>
        <w:t xml:space="preserve"> </w:t>
      </w:r>
      <w:r>
        <w:rPr>
          <w:rFonts w:ascii="Arial" w:cs="Arial" w:eastAsia="Arial" w:hAnsi="Arial"/>
          <w:sz w:val="16"/>
          <w:szCs w:val="16"/>
          <w:color w:val="auto"/>
        </w:rPr>
        <w:t>unvested Non-ISO, in which case the Shares then issued shall be Restricted Shares having the same vesting restrictions as the unvested Option.</w:t>
      </w:r>
    </w:p>
    <w:p>
      <w:pPr>
        <w:spacing w:after="0" w:line="123" w:lineRule="exact"/>
        <w:rPr>
          <w:rFonts w:ascii="Arial" w:cs="Arial" w:eastAsia="Arial" w:hAnsi="Arial"/>
          <w:sz w:val="16"/>
          <w:szCs w:val="16"/>
          <w:color w:val="auto"/>
        </w:rPr>
      </w:pPr>
    </w:p>
    <w:p>
      <w:pPr>
        <w:ind w:right="160" w:firstLine="436"/>
        <w:spacing w:after="0" w:line="272" w:lineRule="auto"/>
        <w:tabs>
          <w:tab w:leader="none" w:pos="685"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Termination of Continuous Service</w:t>
      </w:r>
      <w:r>
        <w:rPr>
          <w:rFonts w:ascii="Arial" w:cs="Arial" w:eastAsia="Arial" w:hAnsi="Arial"/>
          <w:sz w:val="17"/>
          <w:szCs w:val="17"/>
          <w:color w:val="auto"/>
        </w:rPr>
        <w:t>. The Committee may set forth in the applicable Award Agreement the terms and conditions by which an</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or SAR is exercisable, if at all, after the date of a Participant’s termination of Continuous Service. The Committee may waive or modify these provisions at any time. To the extent that a Participant is not entitled to exercise an Option or SAR on the date of a Participant’s termination of Continuous Service, or if the Participant (or other Person entitled to exercise the Option) does not exercise the Option or SAR within the time and as specified in the Award Agreement or below (as applicable), the Option or SAR shall terminate. If the Company has a contingent contractual obligation to provide for accelerated vesting or extended exercisability after termination of a Participant’s Continuous Service, such Options or SARs shall not terminate at the time they otherwise would terminate but instead shall remain outstanding, until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51" w:name="page252"/>
    <w:bookmarkEnd w:id="25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maximum contractual time for determining whether such contingency will occur, and terminate at such time if the contingency has not then occurred;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no such extension shall cause an Option or SAR to be exercisable after the 10-year anniversary of its Grant Date or the date such Option or SAR otherwise would have terminated had the Participant remained in Continuous Service.</w:t>
      </w:r>
    </w:p>
    <w:p>
      <w:pPr>
        <w:spacing w:after="0" w:line="1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Subject to Section 5(f) and to the extent an Award Agreement does not otherwise specify the terms and conditions upon which an Option or SAR shall terminate when a Participant terminates Continuous Service, the following provisions apply, subject to any contingency extensions as set forth in the first paragraph of this Section 5(e):</w:t>
      </w:r>
    </w:p>
    <w:p>
      <w:pPr>
        <w:sectPr>
          <w:pgSz w:w="11900" w:h="16838" w:orient="portrait"/>
          <w:cols w:equalWidth="0" w:num="1">
            <w:col w:w="10980"/>
          </w:cols>
          <w:pgMar w:left="440" w:top="274" w:right="479" w:bottom="1440" w:gutter="0" w:footer="0" w:header="0"/>
        </w:sectPr>
      </w:pPr>
    </w:p>
    <w:p>
      <w:pPr>
        <w:spacing w:after="0" w:line="202"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Reason for Terminating Continuous Service</w:t>
      </w:r>
    </w:p>
    <w:p>
      <w:pPr>
        <w:spacing w:after="0" w:line="225" w:lineRule="exact"/>
        <w:rPr>
          <w:sz w:val="20"/>
          <w:szCs w:val="20"/>
          <w:color w:val="auto"/>
        </w:rPr>
      </w:pPr>
    </w:p>
    <w:p>
      <w:pPr>
        <w:ind w:left="440" w:right="80" w:firstLine="1"/>
        <w:spacing w:after="0" w:line="301" w:lineRule="auto"/>
        <w:tabs>
          <w:tab w:leader="none" w:pos="66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By the Company for Cause, or what would have been Cause if the Company had known all of the relevant facts, or due to Participant’s material breach of his or her unexpired employment agreement or independent contractor agreement with the Company.</w:t>
      </w:r>
    </w:p>
    <w:p>
      <w:pPr>
        <w:spacing w:after="0" w:line="157" w:lineRule="exact"/>
        <w:rPr>
          <w:sz w:val="20"/>
          <w:szCs w:val="20"/>
          <w:color w:val="auto"/>
        </w:rPr>
      </w:pPr>
    </w:p>
    <w:p>
      <w:pPr>
        <w:ind w:left="440" w:firstLine="1"/>
        <w:spacing w:after="0" w:line="277" w:lineRule="auto"/>
        <w:tabs>
          <w:tab w:leader="none" w:pos="72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Disability or Death of the Participant during Continuous Service (in either case unless Reason I applies).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Option/SAR Termination Date</w:t>
      </w:r>
    </w:p>
    <w:p>
      <w:pPr>
        <w:spacing w:after="0" w:line="225" w:lineRule="exact"/>
        <w:rPr>
          <w:sz w:val="20"/>
          <w:szCs w:val="20"/>
          <w:color w:val="auto"/>
        </w:rPr>
      </w:pPr>
    </w:p>
    <w:p>
      <w:pPr>
        <w:jc w:val="both"/>
        <w:ind w:right="760"/>
        <w:spacing w:after="0" w:line="311" w:lineRule="auto"/>
        <w:rPr>
          <w:sz w:val="20"/>
          <w:szCs w:val="20"/>
          <w:color w:val="auto"/>
        </w:rPr>
      </w:pPr>
      <w:r>
        <w:rPr>
          <w:rFonts w:ascii="Arial" w:cs="Arial" w:eastAsia="Arial" w:hAnsi="Arial"/>
          <w:sz w:val="16"/>
          <w:szCs w:val="16"/>
          <w:color w:val="auto"/>
        </w:rPr>
        <w:t>All Options or SARs, whether or not vested, shall immediately expire effective on the date of termination of the Participant’s Continuous Service, or when Cause first existed if earlier.</w:t>
      </w:r>
    </w:p>
    <w:p>
      <w:pPr>
        <w:spacing w:after="0" w:line="365"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All unvested Options or SARs shall immediately expire effective as of the date of termination of the Participant’s Continuous Service, and all vested and unexercised Options or SARs shall expire 12 months after such termination.</w:t>
      </w:r>
    </w:p>
    <w:p>
      <w:pPr>
        <w:spacing w:after="0" w:line="171" w:lineRule="exact"/>
        <w:rPr>
          <w:sz w:val="20"/>
          <w:szCs w:val="20"/>
          <w:color w:val="auto"/>
        </w:rPr>
      </w:pPr>
    </w:p>
    <w:p>
      <w:pPr>
        <w:sectPr>
          <w:pgSz w:w="11900" w:h="16838" w:orient="portrait"/>
          <w:cols w:equalWidth="0" w:num="2">
            <w:col w:w="5360" w:space="340"/>
            <w:col w:w="5280"/>
          </w:cols>
          <w:pgMar w:left="440" w:top="274" w:right="479" w:bottom="1440" w:gutter="0" w:footer="0" w:header="0"/>
          <w:type w:val="continuous"/>
        </w:sectPr>
      </w:pPr>
    </w:p>
    <w:p>
      <w:pPr>
        <w:ind w:left="440"/>
        <w:spacing w:after="0"/>
        <w:tabs>
          <w:tab w:leader="none" w:pos="5680" w:val="left"/>
        </w:tabs>
        <w:rPr>
          <w:sz w:val="20"/>
          <w:szCs w:val="20"/>
          <w:color w:val="auto"/>
        </w:rPr>
      </w:pPr>
      <w:r>
        <w:rPr>
          <w:rFonts w:ascii="Arial" w:cs="Arial" w:eastAsia="Arial" w:hAnsi="Arial"/>
          <w:sz w:val="18"/>
          <w:szCs w:val="18"/>
          <w:color w:val="auto"/>
        </w:rPr>
        <w:t>(III) Any other reason.</w:t>
      </w:r>
      <w:r>
        <w:rPr>
          <w:sz w:val="20"/>
          <w:szCs w:val="20"/>
          <w:color w:val="auto"/>
        </w:rPr>
        <w:tab/>
      </w:r>
      <w:r>
        <w:rPr>
          <w:rFonts w:ascii="Arial" w:cs="Arial" w:eastAsia="Arial" w:hAnsi="Arial"/>
          <w:sz w:val="16"/>
          <w:szCs w:val="16"/>
          <w:color w:val="auto"/>
        </w:rPr>
        <w:t>All unvested Options or SARs shall immediately expire effective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on the date of termination of the Participant’s Continuous Service.</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All vested Options or SARs, to the extent unexercised, shall expire</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effective 3 months after the date of termination of the Participant’s</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Continuous Service.</w:t>
      </w:r>
    </w:p>
    <w:p>
      <w:pPr>
        <w:spacing w:after="0" w:line="211" w:lineRule="exact"/>
        <w:rPr>
          <w:sz w:val="20"/>
          <w:szCs w:val="20"/>
          <w:color w:val="auto"/>
        </w:rPr>
      </w:pPr>
    </w:p>
    <w:p>
      <w:pPr>
        <w:ind w:right="140" w:firstLine="436"/>
        <w:spacing w:after="0" w:line="296" w:lineRule="auto"/>
        <w:tabs>
          <w:tab w:leader="none" w:pos="66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there is a blackout period (whether under the Company’s insider trading policy, Applicable Law, or a Committee-imposed blackout period) that prohibits buying or selling Shares during any part of the ten day period before an Option expires (as described above) due to a Participant’s termination of Continuous Service, the Option exercise period shall be extended until ten days beyond the end of the blackout period. Notwithstanding anything to the contrary in this Plan or any Award Agreement, no Option can be exercised beyond the date its original term expires as set forth in the Award Agreement or the date on which the Option otherwise would become unexercisable absent termination of Continuous Service.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type w:val="continuous"/>
        </w:sectPr>
      </w:pPr>
    </w:p>
    <w:bookmarkStart w:id="252" w:name="page253"/>
    <w:bookmarkEnd w:id="252"/>
    <w:p>
      <w:pPr>
        <w:ind w:left="4" w:right="80" w:firstLine="436"/>
        <w:spacing w:after="0" w:line="273" w:lineRule="auto"/>
        <w:tabs>
          <w:tab w:leader="none" w:pos="699" w:val="left"/>
        </w:tabs>
        <w:numPr>
          <w:ilvl w:val="1"/>
          <w:numId w:val="13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Cancellation Right. </w:t>
      </w:r>
      <w:r>
        <w:rPr>
          <w:rFonts w:ascii="Arial" w:cs="Arial" w:eastAsia="Arial" w:hAnsi="Arial"/>
          <w:sz w:val="17"/>
          <w:szCs w:val="17"/>
          <w:color w:val="auto"/>
        </w:rPr>
        <w:t>Subject to Applicable Law, if the Fair Market Value for Shares subject to any Option or SAR is more than 50%</w:t>
      </w:r>
      <w:r>
        <w:rPr>
          <w:rFonts w:ascii="Arial" w:cs="Arial" w:eastAsia="Arial" w:hAnsi="Arial"/>
          <w:sz w:val="17"/>
          <w:szCs w:val="17"/>
          <w:i w:val="1"/>
          <w:iCs w:val="1"/>
          <w:color w:val="auto"/>
        </w:rPr>
        <w:t xml:space="preserve"> </w:t>
      </w:r>
      <w:r>
        <w:rPr>
          <w:rFonts w:ascii="Arial" w:cs="Arial" w:eastAsia="Arial" w:hAnsi="Arial"/>
          <w:sz w:val="17"/>
          <w:szCs w:val="17"/>
          <w:color w:val="auto"/>
        </w:rPr>
        <w:t>below their exercise price for more than 90 consecutive business days, the Committee unilaterally may declare the Option or SAR terminated, effective on the date the Committee provides written notice to the Option holder or SAR holder. The Committee may take such action with respect to any or all Options or SARs granted under the Plan and with respect to any individual Option holder or SAR holder or class(es) of Option holders or SAR holders, and the Committee has no obligation to be uniform, consistent, or nondiscriminatory between classes of similarly-situated Option holders or SAR holders, except as required by Applicable Law.</w:t>
      </w:r>
    </w:p>
    <w:p>
      <w:pPr>
        <w:spacing w:after="0" w:line="177" w:lineRule="exact"/>
        <w:rPr>
          <w:rFonts w:ascii="Arial" w:cs="Arial" w:eastAsia="Arial" w:hAnsi="Arial"/>
          <w:sz w:val="17"/>
          <w:szCs w:val="17"/>
          <w:color w:val="auto"/>
        </w:rPr>
      </w:pPr>
    </w:p>
    <w:p>
      <w:pPr>
        <w:ind w:left="4" w:firstLine="436"/>
        <w:spacing w:after="0" w:line="290" w:lineRule="auto"/>
        <w:tabs>
          <w:tab w:leader="none" w:pos="699"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Non-Exempt Employees</w:t>
      </w:r>
      <w:r>
        <w:rPr>
          <w:rFonts w:ascii="Arial" w:cs="Arial" w:eastAsia="Arial" w:hAnsi="Arial"/>
          <w:sz w:val="16"/>
          <w:szCs w:val="16"/>
          <w:color w:val="auto"/>
        </w:rPr>
        <w:t>. An Option or SAR granted to an Employee who is non-exempt for purposes of the Fair Labor Standards Act of 1938,</w:t>
      </w:r>
      <w:r>
        <w:rPr>
          <w:rFonts w:ascii="Arial" w:cs="Arial" w:eastAsia="Arial" w:hAnsi="Arial"/>
          <w:sz w:val="16"/>
          <w:szCs w:val="16"/>
          <w:i w:val="1"/>
          <w:iCs w:val="1"/>
          <w:color w:val="auto"/>
        </w:rPr>
        <w:t xml:space="preserve"> </w:t>
      </w:r>
      <w:r>
        <w:rPr>
          <w:rFonts w:ascii="Arial" w:cs="Arial" w:eastAsia="Arial" w:hAnsi="Arial"/>
          <w:sz w:val="16"/>
          <w:szCs w:val="16"/>
          <w:color w:val="auto"/>
        </w:rPr>
        <w:t>as amended, will not be first exercisable for any Shares until at least six months after the Grant Date of the Option or SAR (although the Award may vest prior to such date). Consistent with the provisions of the Worker Economic Opportunity Act, the vested portion of any Options and SARs may be exercised earlier than six months after the Grant Date: (i) if the non-exempt Employee dies or suffers a Disability, (ii) upon a corporate transaction in which the Option or SAR is not assumed, continued, or substituted, (iii) upon a Change in Control, or (iv) upon the Participant’s retirement (as may be defined in the Participant’s Award Agreement or other agreement with the Company, or, if no such definition, in accordance with the Company’s then current employment policies and guidelines). The foregoing provision is intended to operate so that any income derived by a non-exempt Employee in connection with the exercise or vesting of an Option or SAR will be exempt from his or her regular rate of pay.</w:t>
      </w:r>
    </w:p>
    <w:p>
      <w:pPr>
        <w:spacing w:after="0" w:line="161" w:lineRule="exact"/>
        <w:rPr>
          <w:rFonts w:ascii="Arial" w:cs="Arial" w:eastAsia="Arial" w:hAnsi="Arial"/>
          <w:sz w:val="16"/>
          <w:szCs w:val="16"/>
          <w:color w:val="auto"/>
        </w:rPr>
      </w:pPr>
    </w:p>
    <w:p>
      <w:pPr>
        <w:ind w:left="184" w:hanging="184"/>
        <w:spacing w:after="0"/>
        <w:tabs>
          <w:tab w:leader="none" w:pos="184"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SARs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firstLine="436"/>
        <w:spacing w:after="0" w:line="263" w:lineRule="auto"/>
        <w:tabs>
          <w:tab w:leader="none" w:pos="689" w:val="left"/>
        </w:tabs>
        <w:numPr>
          <w:ilvl w:val="1"/>
          <w:numId w:val="138"/>
        </w:numPr>
        <w:rPr>
          <w:rFonts w:ascii="Arial" w:cs="Arial" w:eastAsia="Arial" w:hAnsi="Arial"/>
          <w:sz w:val="18"/>
          <w:szCs w:val="18"/>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The Committee may grant SARs to Eligible Persons pursuant to Award Agreements setting forth terms and conditions awarding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appreciation-only rights relating to Shares;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the Award Agreement for each SAR shall set forth terms and conditions that are consistent with those for an Option, other than that settlement of the SAR shall occur pursuant to Section 6(b) below.</w:t>
      </w:r>
    </w:p>
    <w:p>
      <w:pPr>
        <w:spacing w:after="0" w:line="183" w:lineRule="exact"/>
        <w:rPr>
          <w:rFonts w:ascii="Arial" w:cs="Arial" w:eastAsia="Arial" w:hAnsi="Arial"/>
          <w:sz w:val="18"/>
          <w:szCs w:val="18"/>
          <w:color w:val="auto"/>
        </w:rPr>
      </w:pPr>
    </w:p>
    <w:p>
      <w:pPr>
        <w:ind w:left="4" w:right="80" w:firstLine="436"/>
        <w:spacing w:after="0" w:line="271" w:lineRule="auto"/>
        <w:tabs>
          <w:tab w:leader="none" w:pos="699" w:val="left"/>
        </w:tabs>
        <w:numPr>
          <w:ilvl w:val="1"/>
          <w:numId w:val="138"/>
        </w:numPr>
        <w:rPr>
          <w:rFonts w:ascii="Arial" w:cs="Arial" w:eastAsia="Arial" w:hAnsi="Arial"/>
          <w:sz w:val="17"/>
          <w:szCs w:val="17"/>
          <w:color w:val="auto"/>
        </w:rPr>
      </w:pPr>
      <w:r>
        <w:rPr>
          <w:rFonts w:ascii="Arial" w:cs="Arial" w:eastAsia="Arial" w:hAnsi="Arial"/>
          <w:sz w:val="17"/>
          <w:szCs w:val="17"/>
          <w:i w:val="1"/>
          <w:iCs w:val="1"/>
          <w:color w:val="auto"/>
        </w:rPr>
        <w:t xml:space="preserve">Settlement. </w:t>
      </w:r>
      <w:r>
        <w:rPr>
          <w:rFonts w:ascii="Arial" w:cs="Arial" w:eastAsia="Arial" w:hAnsi="Arial"/>
          <w:sz w:val="17"/>
          <w:szCs w:val="17"/>
          <w:color w:val="auto"/>
        </w:rPr>
        <w:t>Subject to this Plan, a SAR shall entitle the Participant on exercise to receive Shares with a Fair Market Value on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equal to the product of the (i) number of Shares as to which the SAR is being exercised, and (ii) the excess of (A) the Fair Market Value, on such date, of a Share covered by the exercised SAR, over (B) the exercise price designated in the SAR Award Agreement. Notwithstanding the foregoing, a SAR Award Agreement may limit the total settlement value that the Participant will be entitled to receive upon exercise, and may provide for settlement in cash, in Shares, or in any combination of cash or Shares that the Committee may authorize pursuant to an Award Agreement. If, on the date on which a SAR or portion thereof is to expire, the Fair Market Value of the underlying Shares exceeds the aggregate exercise price of such SAR, then the SAR shall be deemed exercised and the Participant shall within ten days thereafter receive the Shares and/or cash that would have been issued on such date if the Participant had affirmatively exercised the SAR on that date.</w:t>
      </w:r>
    </w:p>
    <w:p>
      <w:pPr>
        <w:spacing w:after="0" w:line="178" w:lineRule="exact"/>
        <w:rPr>
          <w:rFonts w:ascii="Arial" w:cs="Arial" w:eastAsia="Arial" w:hAnsi="Arial"/>
          <w:sz w:val="17"/>
          <w:szCs w:val="17"/>
          <w:color w:val="auto"/>
        </w:rPr>
      </w:pPr>
    </w:p>
    <w:p>
      <w:pPr>
        <w:ind w:left="684" w:hanging="244"/>
        <w:spacing w:after="0"/>
        <w:tabs>
          <w:tab w:leader="none" w:pos="684" w:val="left"/>
        </w:tabs>
        <w:numPr>
          <w:ilvl w:val="1"/>
          <w:numId w:val="138"/>
        </w:numPr>
        <w:rPr>
          <w:rFonts w:ascii="Arial" w:cs="Arial" w:eastAsia="Arial" w:hAnsi="Arial"/>
          <w:sz w:val="18"/>
          <w:szCs w:val="18"/>
          <w:color w:val="auto"/>
        </w:rPr>
      </w:pPr>
      <w:r>
        <w:rPr>
          <w:rFonts w:ascii="Arial" w:cs="Arial" w:eastAsia="Arial" w:hAnsi="Arial"/>
          <w:sz w:val="18"/>
          <w:szCs w:val="18"/>
          <w:i w:val="1"/>
          <w:iCs w:val="1"/>
          <w:color w:val="auto"/>
        </w:rPr>
        <w:t>Termination of Continuous Service</w:t>
      </w:r>
      <w:r>
        <w:rPr>
          <w:rFonts w:ascii="Arial" w:cs="Arial" w:eastAsia="Arial" w:hAnsi="Arial"/>
          <w:sz w:val="18"/>
          <w:szCs w:val="18"/>
          <w:color w:val="auto"/>
        </w:rPr>
        <w:t>. See Section 5(e) above.</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138"/>
        </w:numPr>
        <w:rPr>
          <w:rFonts w:ascii="Arial" w:cs="Arial" w:eastAsia="Arial" w:hAnsi="Arial"/>
          <w:sz w:val="18"/>
          <w:szCs w:val="18"/>
          <w:color w:val="auto"/>
        </w:rPr>
      </w:pPr>
      <w:r>
        <w:rPr>
          <w:rFonts w:ascii="Arial" w:cs="Arial" w:eastAsia="Arial" w:hAnsi="Arial"/>
          <w:sz w:val="18"/>
          <w:szCs w:val="18"/>
          <w:i w:val="1"/>
          <w:iCs w:val="1"/>
          <w:color w:val="auto"/>
        </w:rPr>
        <w:t>Company Cancellation Right</w:t>
      </w:r>
      <w:r>
        <w:rPr>
          <w:rFonts w:ascii="Arial" w:cs="Arial" w:eastAsia="Arial" w:hAnsi="Arial"/>
          <w:sz w:val="18"/>
          <w:szCs w:val="18"/>
          <w:color w:val="auto"/>
        </w:rPr>
        <w:t>. See Section 5(g) above.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53" w:name="page254"/>
    <w:bookmarkEnd w:id="253"/>
    <w:p>
      <w:pPr>
        <w:ind w:left="684" w:hanging="244"/>
        <w:spacing w:after="0"/>
        <w:tabs>
          <w:tab w:leader="none" w:pos="684" w:val="left"/>
        </w:tabs>
        <w:numPr>
          <w:ilvl w:val="1"/>
          <w:numId w:val="13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Non-Exempt Employees</w:t>
      </w:r>
      <w:r>
        <w:rPr>
          <w:rFonts w:ascii="Arial" w:cs="Arial" w:eastAsia="Arial" w:hAnsi="Arial"/>
          <w:sz w:val="18"/>
          <w:szCs w:val="18"/>
          <w:color w:val="auto"/>
        </w:rPr>
        <w:t>. See Section 5(h) above.</w:t>
      </w:r>
    </w:p>
    <w:p>
      <w:pPr>
        <w:spacing w:after="0" w:line="221" w:lineRule="exact"/>
        <w:rPr>
          <w:rFonts w:ascii="Arial" w:cs="Arial" w:eastAsia="Arial" w:hAnsi="Arial"/>
          <w:sz w:val="18"/>
          <w:szCs w:val="18"/>
          <w:color w:val="auto"/>
        </w:rPr>
      </w:pPr>
    </w:p>
    <w:p>
      <w:pPr>
        <w:ind w:left="184" w:hanging="184"/>
        <w:spacing w:after="0"/>
        <w:tabs>
          <w:tab w:leader="none" w:pos="184" w:val="left"/>
        </w:tabs>
        <w:numPr>
          <w:ilvl w:val="0"/>
          <w:numId w:val="14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Shares, RSUs, and Unrestricted Shares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firstLine="436"/>
        <w:spacing w:after="0" w:line="287" w:lineRule="auto"/>
        <w:tabs>
          <w:tab w:leader="none" w:pos="689" w:val="left"/>
        </w:tabs>
        <w:numPr>
          <w:ilvl w:val="1"/>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The Committee may grant Restricted Shares, RSUs, or Unrestricted Shares to Eligible Persons, in all cases pursuant to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setting forth terms and conditions consistent with this Plan. As to each Restricted Share or RSU Award, the Committee shall establish the number of Shares deliverable or subject to the Award (which may be determined by a written formula), and the period(s) of time at the end of which all or some restrictions specified in an Award Agreement shall lapse, and the Participant shall receive vested Shares (or cash to the extent provided in the Award Agreement) in settlement of the Award. Such restrictions may include restrictions concerning voting rights and transferability, and may lapse separately or in combination at such times and pursuant to such circumstances or based on such criteria as selected by the Committee, including, without limitation, criteria based on the Participant’s duration of Continuous Service; individual, group, or divisional performance criteria; or Company performance; or other criteria selection by the Committee. The Committee may make Restricted Share and RSU Awards with or without the requirement for payment of cash or other consideration. In addition, the Committee may grant Awards hereunder in the form of Unrestricted Shares which shall vest in full upon the Grant Date or which the Committee may issue pursuant to any program under which one or more Eligible Persons (selected by the Committee in its sole discretion) elect to pay for such Shares or to receive Unrestricted Shares in lieu of cash bonuses that otherwise would be paid.</w:t>
      </w:r>
    </w:p>
    <w:p>
      <w:pPr>
        <w:spacing w:after="0" w:line="171" w:lineRule="exact"/>
        <w:rPr>
          <w:rFonts w:ascii="Arial" w:cs="Arial" w:eastAsia="Arial" w:hAnsi="Arial"/>
          <w:sz w:val="16"/>
          <w:szCs w:val="16"/>
          <w:color w:val="auto"/>
        </w:rPr>
      </w:pPr>
    </w:p>
    <w:p>
      <w:pPr>
        <w:ind w:left="4" w:right="100" w:firstLine="436"/>
        <w:spacing w:after="0" w:line="293" w:lineRule="auto"/>
        <w:tabs>
          <w:tab w:leader="none" w:pos="699" w:val="left"/>
        </w:tabs>
        <w:numPr>
          <w:ilvl w:val="1"/>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Vesting and Forfeiture. </w:t>
      </w:r>
      <w:r>
        <w:rPr>
          <w:rFonts w:ascii="Arial" w:cs="Arial" w:eastAsia="Arial" w:hAnsi="Arial"/>
          <w:sz w:val="16"/>
          <w:szCs w:val="16"/>
          <w:color w:val="auto"/>
        </w:rPr>
        <w:t>In an Award Agreement granting Restricted Shares or RSUs, the Committee shall set forth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establish a “substantial risk of forfeiture” under Code Section 83, and when the Participant’s interest in the Restricted Shares or Shares subject to RSUs become vested and non-forfeitable. Except as set forth in the Award Agreement or as the Committee otherwise determines, the Participant shall forfeit his or her non-vested Restricted Shares and RSUs upon terminating his or her Continuous Service for any reason; </w:t>
      </w:r>
      <w:r>
        <w:rPr>
          <w:rFonts w:ascii="Arial" w:cs="Arial" w:eastAsia="Arial" w:hAnsi="Arial"/>
          <w:sz w:val="16"/>
          <w:szCs w:val="16"/>
          <w:b w:val="1"/>
          <w:bCs w:val="1"/>
          <w:i w:val="1"/>
          <w:iCs w:val="1"/>
          <w:color w:val="auto"/>
        </w:rPr>
        <w:t>provided</w:t>
      </w:r>
      <w:r>
        <w:rPr>
          <w:rFonts w:ascii="Arial" w:cs="Arial" w:eastAsia="Arial" w:hAnsi="Arial"/>
          <w:sz w:val="16"/>
          <w:szCs w:val="16"/>
          <w:color w:val="auto"/>
        </w:rPr>
        <w:t xml:space="preserve"> that if the Participant purchases Restricted Shares and forfeits them for any reason, the Company shall return to the Participant the lower of (i) the Fair Market Value of the Shares on the date of forfeiture or (ii) their original purchase price, to the extent set forth in an Award Agreement or required by Applicable Laws.</w:t>
      </w:r>
    </w:p>
    <w:p>
      <w:pPr>
        <w:spacing w:after="0" w:line="164" w:lineRule="exact"/>
        <w:rPr>
          <w:rFonts w:ascii="Arial" w:cs="Arial" w:eastAsia="Arial" w:hAnsi="Arial"/>
          <w:sz w:val="16"/>
          <w:szCs w:val="16"/>
          <w:color w:val="auto"/>
        </w:rPr>
      </w:pPr>
    </w:p>
    <w:p>
      <w:pPr>
        <w:ind w:left="4" w:right="220" w:firstLine="436"/>
        <w:spacing w:after="0" w:line="259" w:lineRule="auto"/>
        <w:tabs>
          <w:tab w:leader="none" w:pos="689"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for Restricted Shares. </w:t>
      </w:r>
      <w:r>
        <w:rPr>
          <w:rFonts w:ascii="Arial" w:cs="Arial" w:eastAsia="Arial" w:hAnsi="Arial"/>
          <w:sz w:val="18"/>
          <w:szCs w:val="18"/>
          <w:color w:val="auto"/>
        </w:rPr>
        <w:t>Unless otherwise provided in an Award Agreement, the Company shall hold certificates or, if not</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certificated, other indicia representing Restricted Shares until the restrictions lapse, and the Participant shall provide the Company with appropriate stock powers endorsed in blank. The Participant’s failure to provide such stock powers within ten days after a written request from the Company shall entitle the Committee to unilaterally declare all or some of the Participant’s Restricted Shares forfeited.</w:t>
      </w:r>
    </w:p>
    <w:p>
      <w:pPr>
        <w:spacing w:after="0" w:line="186" w:lineRule="exact"/>
        <w:rPr>
          <w:rFonts w:ascii="Arial" w:cs="Arial" w:eastAsia="Arial" w:hAnsi="Arial"/>
          <w:sz w:val="18"/>
          <w:szCs w:val="18"/>
          <w:color w:val="auto"/>
        </w:rPr>
      </w:pPr>
    </w:p>
    <w:p>
      <w:pPr>
        <w:ind w:left="4" w:right="40" w:firstLine="436"/>
        <w:spacing w:after="0" w:line="254" w:lineRule="auto"/>
        <w:tabs>
          <w:tab w:leader="none" w:pos="699"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t>Section 83(b) Elections</w:t>
      </w:r>
      <w:r>
        <w:rPr>
          <w:rFonts w:ascii="Arial" w:cs="Arial" w:eastAsia="Arial" w:hAnsi="Arial"/>
          <w:sz w:val="18"/>
          <w:szCs w:val="18"/>
          <w:color w:val="auto"/>
        </w:rPr>
        <w:t>. A Participant may make an election under Code Section 83(b) (the “</w:t>
      </w:r>
      <w:r>
        <w:rPr>
          <w:rFonts w:ascii="Arial" w:cs="Arial" w:eastAsia="Arial" w:hAnsi="Arial"/>
          <w:sz w:val="18"/>
          <w:szCs w:val="18"/>
          <w:b w:val="1"/>
          <w:bCs w:val="1"/>
          <w:i w:val="1"/>
          <w:iCs w:val="1"/>
          <w:color w:val="auto"/>
        </w:rPr>
        <w:t>Section 83(b) Election</w:t>
      </w:r>
      <w:r>
        <w:rPr>
          <w:rFonts w:ascii="Arial" w:cs="Arial" w:eastAsia="Arial" w:hAnsi="Arial"/>
          <w:sz w:val="18"/>
          <w:szCs w:val="18"/>
          <w:color w:val="auto"/>
        </w:rPr>
        <w:t>”)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Restricted Shares. A Participant who has received RSUs may, within ten days after receiving the RSU Award, provide the Committee with a written notice of his or her desire to make a Section 83(b) Election with respect to the Shares subject to such RSUs. The Committee may in its discretion convert the Participant’s RSUs into Restricted Shares, on a one-for-one basis, in full satisfaction of the Participant’s RSU Award. The Participant may then make a Section 83(b) Election with respect to those Restricted Shares;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the Participant’s Section 83(b) Election normally will be invalid if not filed with the Company and the appropriate U.S. tax authorities within 30 days after the date of the transfer of property within the meaning of Code Section 83(b)(2).</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54" w:name="page255"/>
    <w:bookmarkEnd w:id="254"/>
    <w:p>
      <w:pPr>
        <w:ind w:left="4" w:right="40" w:firstLine="436"/>
        <w:spacing w:after="0" w:line="279" w:lineRule="auto"/>
        <w:tabs>
          <w:tab w:leader="none" w:pos="689" w:val="left"/>
        </w:tabs>
        <w:numPr>
          <w:ilvl w:val="1"/>
          <w:numId w:val="14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upon Vesting</w:t>
      </w:r>
      <w:r>
        <w:rPr>
          <w:rFonts w:ascii="Arial" w:cs="Arial" w:eastAsia="Arial" w:hAnsi="Arial"/>
          <w:sz w:val="17"/>
          <w:szCs w:val="17"/>
          <w:color w:val="auto"/>
        </w:rPr>
        <w:t>. As soon as practicable after a Participant’s Restricted Shares vest (or the right to receive Shares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RSUs vests), the Company shall deliver to the Participant, free from vesting restrictions, one Share for each surrendered and vested Restricted Share (or deliver one Share free of the vesting restriction for each vested RSU), unless an Award Agreement provides otherwise and subject to Section 10 regarding Withholding Taxes. No fractional Shares shall be distributed, and cash shall be paid in lieu thereof.</w:t>
      </w:r>
    </w:p>
    <w:p>
      <w:pPr>
        <w:spacing w:after="0" w:line="171" w:lineRule="exact"/>
        <w:rPr>
          <w:rFonts w:ascii="Arial" w:cs="Arial" w:eastAsia="Arial" w:hAnsi="Arial"/>
          <w:sz w:val="17"/>
          <w:szCs w:val="17"/>
          <w:color w:val="auto"/>
        </w:rPr>
      </w:pPr>
    </w:p>
    <w:p>
      <w:pPr>
        <w:ind w:left="184" w:hanging="184"/>
        <w:spacing w:after="0"/>
        <w:tabs>
          <w:tab w:leader="none" w:pos="184" w:val="left"/>
        </w:tabs>
        <w:numPr>
          <w:ilvl w:val="0"/>
          <w:numId w:val="142"/>
        </w:numPr>
        <w:rPr>
          <w:rFonts w:ascii="Arial" w:cs="Arial" w:eastAsia="Arial" w:hAnsi="Arial"/>
          <w:sz w:val="18"/>
          <w:szCs w:val="18"/>
          <w:color w:val="auto"/>
        </w:rPr>
      </w:pPr>
      <w:r>
        <w:rPr>
          <w:rFonts w:ascii="Arial" w:cs="Arial" w:eastAsia="Arial" w:hAnsi="Arial"/>
          <w:sz w:val="18"/>
          <w:szCs w:val="18"/>
          <w:b w:val="1"/>
          <w:bCs w:val="1"/>
          <w:i w:val="1"/>
          <w:iCs w:val="1"/>
          <w:color w:val="auto"/>
        </w:rPr>
        <w:t>Reserved.</w:t>
      </w:r>
    </w:p>
    <w:p>
      <w:pPr>
        <w:spacing w:after="0" w:line="221" w:lineRule="exact"/>
        <w:rPr>
          <w:rFonts w:ascii="Arial" w:cs="Arial" w:eastAsia="Arial" w:hAnsi="Arial"/>
          <w:sz w:val="18"/>
          <w:szCs w:val="18"/>
          <w:color w:val="auto"/>
        </w:rPr>
      </w:pPr>
    </w:p>
    <w:p>
      <w:pPr>
        <w:ind w:left="184" w:hanging="184"/>
        <w:spacing w:after="0"/>
        <w:tabs>
          <w:tab w:leader="none" w:pos="184"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 Right of Repurchase</w:t>
      </w:r>
    </w:p>
    <w:p>
      <w:pPr>
        <w:spacing w:after="0" w:line="229" w:lineRule="exact"/>
        <w:rPr>
          <w:rFonts w:ascii="Arial" w:cs="Arial" w:eastAsia="Arial" w:hAnsi="Arial"/>
          <w:sz w:val="18"/>
          <w:szCs w:val="18"/>
          <w:color w:val="auto"/>
        </w:rPr>
      </w:pPr>
    </w:p>
    <w:p>
      <w:pPr>
        <w:ind w:left="4" w:right="120" w:firstLine="436"/>
        <w:spacing w:after="0" w:line="286" w:lineRule="auto"/>
        <w:tabs>
          <w:tab w:leader="none" w:pos="689" w:val="left"/>
        </w:tabs>
        <w:numPr>
          <w:ilvl w:val="1"/>
          <w:numId w:val="142"/>
        </w:numPr>
        <w:rPr>
          <w:rFonts w:ascii="Arial" w:cs="Arial" w:eastAsia="Arial" w:hAnsi="Arial"/>
          <w:sz w:val="17"/>
          <w:szCs w:val="17"/>
          <w:color w:val="auto"/>
        </w:rPr>
      </w:pPr>
      <w:r>
        <w:rPr>
          <w:rFonts w:ascii="Arial" w:cs="Arial" w:eastAsia="Arial" w:hAnsi="Arial"/>
          <w:sz w:val="17"/>
          <w:szCs w:val="17"/>
          <w:i w:val="1"/>
          <w:iCs w:val="1"/>
          <w:color w:val="auto"/>
        </w:rPr>
        <w:t xml:space="preserve">Right of Repurchase. </w:t>
      </w:r>
      <w:r>
        <w:rPr>
          <w:rFonts w:ascii="Arial" w:cs="Arial" w:eastAsia="Arial" w:hAnsi="Arial"/>
          <w:sz w:val="17"/>
          <w:szCs w:val="17"/>
          <w:color w:val="auto"/>
        </w:rPr>
        <w:t>Subject to the “</w:t>
      </w:r>
      <w:r>
        <w:rPr>
          <w:rFonts w:ascii="Arial" w:cs="Arial" w:eastAsia="Arial" w:hAnsi="Arial"/>
          <w:sz w:val="17"/>
          <w:szCs w:val="17"/>
          <w:b w:val="1"/>
          <w:bCs w:val="1"/>
          <w:i w:val="1"/>
          <w:iCs w:val="1"/>
          <w:color w:val="auto"/>
        </w:rPr>
        <w:t>Repurchase Limitation</w:t>
      </w:r>
      <w:r>
        <w:rPr>
          <w:rFonts w:ascii="Arial" w:cs="Arial" w:eastAsia="Arial" w:hAnsi="Arial"/>
          <w:sz w:val="17"/>
          <w:szCs w:val="17"/>
          <w:color w:val="auto"/>
        </w:rPr>
        <w:t>” in Section 9(c), the Award Agreement for an Option, SAR, Restricted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RSU, or Unrestricted Shares may include a provision whereby the Company or its designee may elect to repurchase all or any part of the vested Shares acquired by the Participant pursuant to the exercise of the Option, SAR, Restricted Shares, RSU, or Unrestricted Shares.</w:t>
      </w:r>
    </w:p>
    <w:p>
      <w:pPr>
        <w:spacing w:after="0" w:line="165" w:lineRule="exact"/>
        <w:rPr>
          <w:rFonts w:ascii="Arial" w:cs="Arial" w:eastAsia="Arial" w:hAnsi="Arial"/>
          <w:sz w:val="17"/>
          <w:szCs w:val="17"/>
          <w:color w:val="auto"/>
        </w:rPr>
      </w:pPr>
    </w:p>
    <w:p>
      <w:pPr>
        <w:ind w:left="4" w:firstLine="436"/>
        <w:spacing w:after="0" w:line="301" w:lineRule="auto"/>
        <w:tabs>
          <w:tab w:leader="none" w:pos="699" w:val="left"/>
        </w:tabs>
        <w:numPr>
          <w:ilvl w:val="1"/>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Right of First Refusal. </w:t>
      </w:r>
      <w:r>
        <w:rPr>
          <w:rFonts w:ascii="Arial" w:cs="Arial" w:eastAsia="Arial" w:hAnsi="Arial"/>
          <w:sz w:val="16"/>
          <w:szCs w:val="16"/>
          <w:color w:val="auto"/>
        </w:rPr>
        <w:t>The Award Agreement for an Option, SAR, Restricted Shares, RSU, or Unrestricted Shares, may include a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whereby the Company or its designee may elect to exercise a right of first refusal following receipt of notice from the Participant of the intent to transfer all or any part of the Shares received upon the exercise of the Award. Such right of first refusal shall be subject to the “Repurchase Limitation” in Section 9(c). The Shares also may be subject to whatever right of first refusal and other limitations that may exist in the Bylaws of the Company.</w:t>
      </w:r>
    </w:p>
    <w:p>
      <w:pPr>
        <w:spacing w:after="0" w:line="157" w:lineRule="exact"/>
        <w:rPr>
          <w:rFonts w:ascii="Arial" w:cs="Arial" w:eastAsia="Arial" w:hAnsi="Arial"/>
          <w:sz w:val="16"/>
          <w:szCs w:val="16"/>
          <w:color w:val="auto"/>
        </w:rPr>
      </w:pPr>
    </w:p>
    <w:p>
      <w:pPr>
        <w:ind w:left="4" w:right="40" w:firstLine="436"/>
        <w:spacing w:after="0" w:line="291" w:lineRule="auto"/>
        <w:tabs>
          <w:tab w:leader="none" w:pos="689" w:val="left"/>
        </w:tabs>
        <w:numPr>
          <w:ilvl w:val="1"/>
          <w:numId w:val="142"/>
        </w:numPr>
        <w:rPr>
          <w:rFonts w:ascii="Arial" w:cs="Arial" w:eastAsia="Arial" w:hAnsi="Arial"/>
          <w:sz w:val="16"/>
          <w:szCs w:val="16"/>
          <w:color w:val="auto"/>
        </w:rPr>
      </w:pPr>
      <w:r>
        <w:rPr>
          <w:rFonts w:ascii="Arial" w:cs="Arial" w:eastAsia="Arial" w:hAnsi="Arial"/>
          <w:sz w:val="16"/>
          <w:szCs w:val="16"/>
          <w:i w:val="1"/>
          <w:iCs w:val="1"/>
          <w:color w:val="auto"/>
        </w:rPr>
        <w:t>Repurchase Limitation</w:t>
      </w:r>
      <w:r>
        <w:rPr>
          <w:rFonts w:ascii="Arial" w:cs="Arial" w:eastAsia="Arial" w:hAnsi="Arial"/>
          <w:sz w:val="16"/>
          <w:szCs w:val="16"/>
          <w:color w:val="auto"/>
        </w:rPr>
        <w:t>. The repurchase price for vested Shares shall be the Fair Market Value of the Shares on the date of repurchase, unless</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Participant’s service relationship with the Company or its Affiliates was terminated by the Company for Cause (or what would have been Cause if the Company had known all of the relevant facts), in which case the repurchase price shall be the lower of (i) the Fair Market Value of the Shares on the date of repurchase or (ii) their original purchase price. The repurchase price for unvested Shares shall be the lower of (i) the Fair Market Value of the Shares on the date of repurchase or (ii) their original purchase price. However, the Company shall not exercise its repurchase right until at least six months (or such longer or shorter period of time necessary to avoid classification of the Award as a liability for financial accounting purposes) have elapsed following delivery of the Shares subject to the Award, unless otherwise specifically provided by the Committee.</w:t>
      </w:r>
    </w:p>
    <w:p>
      <w:pPr>
        <w:spacing w:after="0" w:line="162" w:lineRule="exact"/>
        <w:rPr>
          <w:rFonts w:ascii="Arial" w:cs="Arial" w:eastAsia="Arial" w:hAnsi="Arial"/>
          <w:sz w:val="16"/>
          <w:szCs w:val="16"/>
          <w:color w:val="auto"/>
        </w:rPr>
      </w:pPr>
    </w:p>
    <w:p>
      <w:pPr>
        <w:ind w:left="264" w:hanging="264"/>
        <w:spacing w:after="0"/>
        <w:tabs>
          <w:tab w:leader="none" w:pos="264"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 Withholding; Code §409A.</w:t>
      </w:r>
    </w:p>
    <w:p>
      <w:pPr>
        <w:spacing w:after="0" w:line="229" w:lineRule="exact"/>
        <w:rPr>
          <w:rFonts w:ascii="Arial" w:cs="Arial" w:eastAsia="Arial" w:hAnsi="Arial"/>
          <w:sz w:val="18"/>
          <w:szCs w:val="18"/>
          <w:color w:val="auto"/>
        </w:rPr>
      </w:pPr>
    </w:p>
    <w:p>
      <w:pPr>
        <w:ind w:left="4" w:firstLine="436"/>
        <w:spacing w:after="0" w:line="259" w:lineRule="auto"/>
        <w:tabs>
          <w:tab w:leader="none" w:pos="689"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General Rule. </w:t>
      </w:r>
      <w:r>
        <w:rPr>
          <w:rFonts w:ascii="Arial" w:cs="Arial" w:eastAsia="Arial" w:hAnsi="Arial"/>
          <w:sz w:val="18"/>
          <w:szCs w:val="18"/>
          <w:color w:val="auto"/>
        </w:rPr>
        <w:t>Notwithstanding any provision of this Plan or an Award Agreement to the contrary, Participants are solely responsible and liable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satisfaction of all taxes and penalties that may arise in connection with Awards, and neither the Company, nor any Affiliate, nor any of their employees, directors, or agents shall have any duty or obligation to mitigate, minimize, indemnify, or to hold any Participant harmless from any or all of such tax consequences.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255" w:name="page256"/>
    <w:bookmarkEnd w:id="255"/>
    <w:p>
      <w:pPr>
        <w:ind w:left="4" w:right="80" w:firstLine="436"/>
        <w:spacing w:after="0" w:line="253" w:lineRule="auto"/>
        <w:tabs>
          <w:tab w:leader="none" w:pos="699" w:val="left"/>
        </w:tabs>
        <w:numPr>
          <w:ilvl w:val="1"/>
          <w:numId w:val="1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Withholding. </w:t>
      </w:r>
      <w:r>
        <w:rPr>
          <w:rFonts w:ascii="Arial" w:cs="Arial" w:eastAsia="Arial" w:hAnsi="Arial"/>
          <w:sz w:val="18"/>
          <w:szCs w:val="18"/>
          <w:color w:val="auto"/>
        </w:rPr>
        <w:t>The Company’s obligation to deliver Shares (or to pay cash) to Participants pursuant to Awards is at all times subject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prior or coincident satisfaction of all Withholding Taxes. Except as otherwise provided under the Plan or in an Award Agreement, no later than the date as of which an amount first becomes includible in a Participant’s taxable income for U.S. federal, state, local or non-U.S. income or social insurance tax purposes with respect to an Award, the Participant shall pay to the Company (or to the Affiliate employing the Participant), or make arrangements satisfactory to the Company (or such Affiliate) for the payment of, any such Withholding Taxes (which normally will not apply to non-Employees). Notwithstanding the foregoing, the Company and its Affiliates may, in each of their sole discretion, withhold a sufficient number of Shares that are otherwise issuable to the Participant pursuant to the Award (and/or cash that is otherwise payable to the Participant) in order to satisfy up to the maximum amount of Withholding Taxes. For purposes of the foregoing, the Committee may establish such procedures as it deems necessary or appropriate.</w:t>
      </w:r>
    </w:p>
    <w:p>
      <w:pPr>
        <w:spacing w:after="0" w:line="196" w:lineRule="exact"/>
        <w:rPr>
          <w:rFonts w:ascii="Arial" w:cs="Arial" w:eastAsia="Arial" w:hAnsi="Arial"/>
          <w:sz w:val="18"/>
          <w:szCs w:val="18"/>
          <w:color w:val="auto"/>
        </w:rPr>
      </w:pPr>
    </w:p>
    <w:p>
      <w:pPr>
        <w:ind w:left="4" w:firstLine="436"/>
        <w:spacing w:after="0" w:line="287" w:lineRule="auto"/>
        <w:tabs>
          <w:tab w:leader="none" w:pos="689" w:val="left"/>
        </w:tabs>
        <w:numPr>
          <w:ilvl w:val="1"/>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U.S. Code Sections 409A and 4999. </w:t>
      </w:r>
      <w:r>
        <w:rPr>
          <w:rFonts w:ascii="Arial" w:cs="Arial" w:eastAsia="Arial" w:hAnsi="Arial"/>
          <w:sz w:val="16"/>
          <w:szCs w:val="16"/>
          <w:color w:val="auto"/>
        </w:rPr>
        <w:t>To the extent that the Committee determines that any Award granted under this Plan is subject to Code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the Award Agreement evidencing such Award shall incorporate the terms and conditions required by Code Section 409A. To the extent applicable, this Plan and Award Agreements shall be interpreted in accordance with Code Section 409A and Department of Treasury regulations and other interpretive guidance issued thereunder, including without limitation any such regulations or other guidance that may be issued after the Effective Date. Notwithstanding the foregoing or any provision of the Plan or an Award Agreement to the contrary, Participants shall be solely responsible for the satisfaction of any taxes that may arise pursuant to Awards (including taxes arising under Code Sections 409A (regarding deferred compensation) or 4999 (regarding golden parachute excise taxes)). Nevertheless, the Committee may adopt such amendments to the Plan and the applicable Award Agreement or adopt other policies and procedures (including amendments, policies and procedures or cancelling all or some Awards with retroactive effect), or take any other actions, that the Committee determines are necessary or appropriate (i) to exempt an Award from Code Section 409A and/or preserve the intended tax treatment of the benefits provided with respect to the Award, or (ii) to comply with the requirements of Code Section 409A and related Department of Treasury guidance and thereby avoid the application of any penalty taxes under such Section.</w:t>
      </w:r>
    </w:p>
    <w:p>
      <w:pPr>
        <w:spacing w:after="0" w:line="171" w:lineRule="exact"/>
        <w:rPr>
          <w:rFonts w:ascii="Arial" w:cs="Arial" w:eastAsia="Arial" w:hAnsi="Arial"/>
          <w:sz w:val="16"/>
          <w:szCs w:val="16"/>
          <w:color w:val="auto"/>
        </w:rPr>
      </w:pPr>
    </w:p>
    <w:p>
      <w:pPr>
        <w:ind w:left="4" w:right="160" w:firstLine="436"/>
        <w:spacing w:after="0" w:line="275" w:lineRule="auto"/>
        <w:tabs>
          <w:tab w:leader="none" w:pos="699" w:val="left"/>
        </w:tabs>
        <w:numPr>
          <w:ilvl w:val="1"/>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Unfunded Tax Status. </w:t>
      </w:r>
      <w:r>
        <w:rPr>
          <w:rFonts w:ascii="Arial" w:cs="Arial" w:eastAsia="Arial" w:hAnsi="Arial"/>
          <w:sz w:val="17"/>
          <w:szCs w:val="17"/>
          <w:color w:val="auto"/>
        </w:rPr>
        <w:t>This Plan is intended to be an “unfunded” plan for incentive compensation. With respect to any payments not yet made</w:t>
      </w:r>
      <w:r>
        <w:rPr>
          <w:rFonts w:ascii="Arial" w:cs="Arial" w:eastAsia="Arial" w:hAnsi="Arial"/>
          <w:sz w:val="17"/>
          <w:szCs w:val="17"/>
          <w:i w:val="1"/>
          <w:iCs w:val="1"/>
          <w:color w:val="auto"/>
        </w:rPr>
        <w:t xml:space="preserve"> </w:t>
      </w:r>
      <w:r>
        <w:rPr>
          <w:rFonts w:ascii="Arial" w:cs="Arial" w:eastAsia="Arial" w:hAnsi="Arial"/>
          <w:sz w:val="17"/>
          <w:szCs w:val="17"/>
          <w:color w:val="auto"/>
        </w:rPr>
        <w:t>to a Person pursuant to an Award, nothing in this Plan or any Award Agreement shall give the Person any rights greater than those of a general creditor of the Company or any Affiliate, and a Participant’s rights under this Plan at all times constitute an unsecured claim against the Company’s general assets for the collection of benefits as they come due. Neither the Participant nor his or her duly-authorized transferee or Beneficiaries shall have any claim against or rights in any specific assets, Shares, or other funds of the Company.</w:t>
      </w:r>
    </w:p>
    <w:p>
      <w:pPr>
        <w:spacing w:after="0" w:line="172" w:lineRule="exact"/>
        <w:rPr>
          <w:rFonts w:ascii="Arial" w:cs="Arial" w:eastAsia="Arial" w:hAnsi="Arial"/>
          <w:sz w:val="17"/>
          <w:szCs w:val="17"/>
          <w:color w:val="auto"/>
        </w:rPr>
      </w:pPr>
    </w:p>
    <w:p>
      <w:pPr>
        <w:ind w:left="264" w:hanging="264"/>
        <w:spacing w:after="0"/>
        <w:tabs>
          <w:tab w:leader="none" w:pos="264"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Awards.</w:t>
      </w:r>
    </w:p>
    <w:p>
      <w:pPr>
        <w:spacing w:after="0" w:line="229" w:lineRule="exact"/>
        <w:rPr>
          <w:rFonts w:ascii="Arial" w:cs="Arial" w:eastAsia="Arial" w:hAnsi="Arial"/>
          <w:sz w:val="18"/>
          <w:szCs w:val="18"/>
          <w:color w:val="auto"/>
        </w:rPr>
      </w:pPr>
    </w:p>
    <w:p>
      <w:pPr>
        <w:ind w:left="4" w:right="40" w:firstLine="436"/>
        <w:spacing w:after="0" w:line="257" w:lineRule="auto"/>
        <w:tabs>
          <w:tab w:leader="none" w:pos="689"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Except as set forth in this Section, or as otherwise approved by the Committee and subject to restrictions on transfer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Bylaws of the Company, Awards may not be sold, pledged, assigned, hypothecated, transferred or disposed of in any manner other than by will or by the laws of descent or distribution. The designation of a death Beneficiary by a Participant will not constitute a transfer. An Award may be exercised, during the lifetime of the holder of an Award, only by such holder, by the duly-authorized legal representative of a holder who is Disabled, or by a transferee permitted by this Section.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256" w:name="page257"/>
    <w:bookmarkEnd w:id="256"/>
    <w:p>
      <w:pPr>
        <w:ind w:left="4" w:firstLine="436"/>
        <w:spacing w:after="0" w:line="254" w:lineRule="auto"/>
        <w:tabs>
          <w:tab w:leader="none" w:pos="699"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Limited Transferability Rights. </w:t>
      </w:r>
      <w:r>
        <w:rPr>
          <w:rFonts w:ascii="Arial" w:cs="Arial" w:eastAsia="Arial" w:hAnsi="Arial"/>
          <w:sz w:val="18"/>
          <w:szCs w:val="18"/>
          <w:color w:val="auto"/>
        </w:rPr>
        <w:t>Subject to restrictions on transfer contained in the Bylaws of the Company, the Committee may in its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in an Award Agreement that an Award in the form of a Non-ISO, Share-settled SAR, or Restricted Shares may be transferred, on such terms and conditions as the Committee deems appropriate, either (i) by instrument to the Participant’s Immediate Family, (ii) by instrument to an inter vivos or testamentary trust (or other entity) in which the Award is to be passed to the Participant’s designated Beneficiaries, (iii) even in the case of an ISO, pursuant to a domestic relations order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however, that if an Option is an ISO, such Option may be deemed a non-ISO as a result of such transfer), or (iv) by gift to charitable institutions. Any transferee of the Participant’s rights shall succeed and be subject to all of the terms of the applicable Award Agreement and this Plan.</w:t>
      </w:r>
    </w:p>
    <w:p>
      <w:pPr>
        <w:spacing w:after="0" w:line="194" w:lineRule="exact"/>
        <w:rPr>
          <w:rFonts w:ascii="Arial" w:cs="Arial" w:eastAsia="Arial" w:hAnsi="Arial"/>
          <w:sz w:val="18"/>
          <w:szCs w:val="18"/>
          <w:color w:val="auto"/>
        </w:rPr>
      </w:pPr>
    </w:p>
    <w:p>
      <w:pPr>
        <w:ind w:left="4" w:right="80" w:firstLine="436"/>
        <w:spacing w:after="0" w:line="311" w:lineRule="auto"/>
        <w:tabs>
          <w:tab w:leader="none" w:pos="689"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Death</w:t>
      </w:r>
      <w:r>
        <w:rPr>
          <w:rFonts w:ascii="Arial" w:cs="Arial" w:eastAsia="Arial" w:hAnsi="Arial"/>
          <w:sz w:val="16"/>
          <w:szCs w:val="16"/>
          <w:color w:val="auto"/>
        </w:rPr>
        <w:t>. In the event of the death of a Participant, any outstanding vested Awards issued to the Participant shall automatically be transferred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Participant’s Beneficiary (or, if no Beneficiary is designated or surviving, to the person or persons to whom the Participant’s rights under the Award pass by will or the laws of descent and distribution in the state in which the Participant was domiciled at the time of his or her death).</w:t>
      </w:r>
    </w:p>
    <w:p>
      <w:pPr>
        <w:spacing w:after="0" w:line="144" w:lineRule="exact"/>
        <w:rPr>
          <w:rFonts w:ascii="Arial" w:cs="Arial" w:eastAsia="Arial" w:hAnsi="Arial"/>
          <w:sz w:val="16"/>
          <w:szCs w:val="16"/>
          <w:color w:val="auto"/>
        </w:rPr>
      </w:pPr>
    </w:p>
    <w:p>
      <w:pPr>
        <w:ind w:left="264" w:hanging="264"/>
        <w:spacing w:after="0"/>
        <w:tabs>
          <w:tab w:leader="none" w:pos="264"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Capital Structure; Change in Control; Etc.</w:t>
      </w:r>
    </w:p>
    <w:p>
      <w:pPr>
        <w:spacing w:after="0" w:line="229" w:lineRule="exact"/>
        <w:rPr>
          <w:rFonts w:ascii="Arial" w:cs="Arial" w:eastAsia="Arial" w:hAnsi="Arial"/>
          <w:sz w:val="18"/>
          <w:szCs w:val="18"/>
          <w:color w:val="auto"/>
        </w:rPr>
      </w:pPr>
    </w:p>
    <w:p>
      <w:pPr>
        <w:ind w:left="4" w:firstLine="436"/>
        <w:spacing w:after="0" w:line="287" w:lineRule="auto"/>
        <w:tabs>
          <w:tab w:leader="none" w:pos="689"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t xml:space="preserve">Changes in Capitalization. </w:t>
      </w:r>
      <w:r>
        <w:rPr>
          <w:rFonts w:ascii="Arial" w:cs="Arial" w:eastAsia="Arial" w:hAnsi="Arial"/>
          <w:sz w:val="16"/>
          <w:szCs w:val="16"/>
          <w:color w:val="auto"/>
        </w:rPr>
        <w:t>The Committee shall equitably adjust the number of Shares covered by each outstanding Award, and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that have been authorized for issuance under this Plan but as to which no Awards have yet been granted or that have been returned to this Plan upon cancellation, forfeiture, or expiration of an Award, as well as the exercise or other price per Share covered by each such outstanding Award, to reflect any increase or decrease in the number of issued Shares resulting from a stock-split, reverse stock-split, stock dividend, combination, recapitalization or reclassification of the Shares, merger, consolidation, change in organization form, or any other increase or decrease in the number of issued Shares effected without receipt or payment of consideration by the Company. In the event of any such transaction or event, the Committee may provide in substitution for any or all outstanding Awards, or as an alternative to an adjustment, such alternative consideration (including cash or securities of any surviving entity) as it may in good faith determine to be equitable under the circumstances and may, if substitute consideration is provided, require in connection therewith the surrender of all Awards so substituted. In any case, such substitution of cash or securities shall not require the consent of any Participant. Except as expressly provided herein, or in an Award Agreement, if the Company issues for consideration shares of stock of any class or securities convertible into shares of stock of any class, the issuance shall not affect, and no adjustment by reason thereof shall be required to be made with respect to, the number or price of Shares subject to any Award.</w:t>
      </w:r>
    </w:p>
    <w:p>
      <w:pPr>
        <w:spacing w:after="0" w:line="167" w:lineRule="exact"/>
        <w:rPr>
          <w:rFonts w:ascii="Arial" w:cs="Arial" w:eastAsia="Arial" w:hAnsi="Arial"/>
          <w:sz w:val="16"/>
          <w:szCs w:val="16"/>
          <w:color w:val="auto"/>
        </w:rPr>
      </w:pPr>
    </w:p>
    <w:p>
      <w:pPr>
        <w:ind w:left="4" w:right="700" w:firstLine="436"/>
        <w:spacing w:after="0" w:line="286" w:lineRule="auto"/>
        <w:tabs>
          <w:tab w:leader="none" w:pos="699" w:val="left"/>
        </w:tabs>
        <w:numPr>
          <w:ilvl w:val="1"/>
          <w:numId w:val="146"/>
        </w:numPr>
        <w:rPr>
          <w:rFonts w:ascii="Arial" w:cs="Arial" w:eastAsia="Arial" w:hAnsi="Arial"/>
          <w:sz w:val="17"/>
          <w:szCs w:val="17"/>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Except as otherwise provided in an Award Agreement, in the event of the dissolution or liquidation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other than as part of a Change in Control, each Award will terminate immediately prior to the consummation of such dissolution or liquidation, subject to the ability of the Committee to exercise any discretion authorized in the case of a Change in Control.</w:t>
      </w:r>
    </w:p>
    <w:p>
      <w:pPr>
        <w:spacing w:after="0" w:line="165" w:lineRule="exact"/>
        <w:rPr>
          <w:rFonts w:ascii="Arial" w:cs="Arial" w:eastAsia="Arial" w:hAnsi="Arial"/>
          <w:sz w:val="17"/>
          <w:szCs w:val="17"/>
          <w:color w:val="auto"/>
        </w:rPr>
      </w:pPr>
    </w:p>
    <w:p>
      <w:pPr>
        <w:ind w:left="4" w:right="120" w:firstLine="436"/>
        <w:spacing w:after="0" w:line="277" w:lineRule="auto"/>
        <w:tabs>
          <w:tab w:leader="none" w:pos="689"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but subject to the terms of any Award Agreements or employment-related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Company or any Affiliates and</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257" w:name="page258"/>
    <w:bookmarkEnd w:id="257"/>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Participant, each outstanding Award may be assumed or a substantially equivalent award may be substituted by the surviving or successor company or a parent or subsidiary of such successor company (in each case, the “</w:t>
      </w:r>
      <w:r>
        <w:rPr>
          <w:rFonts w:ascii="Arial" w:cs="Arial" w:eastAsia="Arial" w:hAnsi="Arial"/>
          <w:sz w:val="18"/>
          <w:szCs w:val="18"/>
          <w:b w:val="1"/>
          <w:bCs w:val="1"/>
          <w:i w:val="1"/>
          <w:iCs w:val="1"/>
          <w:color w:val="auto"/>
        </w:rPr>
        <w:t>Successor Company</w:t>
      </w:r>
      <w:r>
        <w:rPr>
          <w:rFonts w:ascii="Arial" w:cs="Arial" w:eastAsia="Arial" w:hAnsi="Arial"/>
          <w:sz w:val="18"/>
          <w:szCs w:val="18"/>
          <w:color w:val="auto"/>
        </w:rPr>
        <w:t>”) upon consummation of the transaction. Notwithstanding the foregoing, instead of having outstanding Awards be assumed or substituted with equivalent awards by the Successor Company, the Committee may in its sole and absolute discretion and authority, without obtaining the approval or consent of the Company’s stockholders or any Participant, take one or more of the following actions (with respect to any or all of the Awards, and with discretion to differentiate between individual Participants and Awards for any reason):</w:t>
      </w:r>
    </w:p>
    <w:p>
      <w:pPr>
        <w:spacing w:after="0" w:line="84" w:lineRule="exact"/>
        <w:rPr>
          <w:sz w:val="20"/>
          <w:szCs w:val="20"/>
          <w:color w:val="auto"/>
        </w:rPr>
      </w:pPr>
    </w:p>
    <w:p>
      <w:pPr>
        <w:ind w:left="444" w:right="180" w:firstLine="419"/>
        <w:spacing w:after="0" w:line="263" w:lineRule="auto"/>
        <w:tabs>
          <w:tab w:leader="none" w:pos="108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accelerate the vesting of Awards so that some or all Awards shall vest (and, to the extent applicable, become exercisable) as to (some or all of) the Shares that otherwise would have been unvested and/or provide that repurchase rights of the Company, if any, with respect to Shares issued pursuant to an Award shall lapse as to the Shares subject to such repurchase right;</w:t>
      </w:r>
    </w:p>
    <w:p>
      <w:pPr>
        <w:spacing w:after="0" w:line="75" w:lineRule="exact"/>
        <w:rPr>
          <w:rFonts w:ascii="Arial" w:cs="Arial" w:eastAsia="Arial" w:hAnsi="Arial"/>
          <w:sz w:val="18"/>
          <w:szCs w:val="18"/>
          <w:color w:val="auto"/>
        </w:rPr>
      </w:pPr>
    </w:p>
    <w:p>
      <w:pPr>
        <w:ind w:left="444" w:firstLine="419"/>
        <w:spacing w:after="0" w:line="254" w:lineRule="auto"/>
        <w:tabs>
          <w:tab w:leader="none" w:pos="113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 xml:space="preserve">arrange or otherwise provide for the payment of cash or other consideration to Participants in exchange for the satisfaction and cancellation of all or some outstanding Awards (based on the Fair Market Value, on the date of the Change in Control, of the Award being cancelled, based on any reasonable valuation method selected by the Committee);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the Committee shall have full discretion to unilaterally cancel (I) any Options or SARs whose exercise price is equal to or greater than the Fair Market Value of the Shares, as of the date of the Change in Control, with such cancellation being without the payment of any consideration whatsoever to those Participants whose Options and SARs are being cancelled and (II) either all Awards or only select Awards (such as only those that have vested on or before the Change in Control);</w:t>
      </w:r>
    </w:p>
    <w:p>
      <w:pPr>
        <w:spacing w:after="0" w:line="86" w:lineRule="exact"/>
        <w:rPr>
          <w:rFonts w:ascii="Arial" w:cs="Arial" w:eastAsia="Arial" w:hAnsi="Arial"/>
          <w:sz w:val="18"/>
          <w:szCs w:val="18"/>
          <w:color w:val="auto"/>
        </w:rPr>
      </w:pPr>
    </w:p>
    <w:p>
      <w:pPr>
        <w:jc w:val="both"/>
        <w:ind w:left="444" w:right="140" w:firstLine="419"/>
        <w:spacing w:after="0" w:line="259" w:lineRule="auto"/>
        <w:tabs>
          <w:tab w:leader="none" w:pos="118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 xml:space="preserve">terminate all or some Awards upon the consummation of the transaction;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the Committee may provide for vesting of such Awards in full as of a date immediately prior to consummation of the Change in Control. To the extent that an Award is not exercised, settled, or cancelled prior to consummation of a transaction in which the Award is not being assumed or substituted, such Award shall terminate upon such consummation;</w:t>
      </w:r>
    </w:p>
    <w:p>
      <w:pPr>
        <w:spacing w:after="0" w:line="78" w:lineRule="exact"/>
        <w:rPr>
          <w:rFonts w:ascii="Arial" w:cs="Arial" w:eastAsia="Arial" w:hAnsi="Arial"/>
          <w:sz w:val="18"/>
          <w:szCs w:val="18"/>
          <w:color w:val="auto"/>
        </w:rPr>
      </w:pPr>
    </w:p>
    <w:p>
      <w:pPr>
        <w:ind w:left="1164" w:hanging="301"/>
        <w:spacing w:after="0"/>
        <w:tabs>
          <w:tab w:leader="none" w:pos="1164"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terminate all or some unvested Awards without compensation therefor; or</w:t>
      </w:r>
    </w:p>
    <w:p>
      <w:pPr>
        <w:spacing w:after="0" w:line="117" w:lineRule="exact"/>
        <w:rPr>
          <w:rFonts w:ascii="Arial" w:cs="Arial" w:eastAsia="Arial" w:hAnsi="Arial"/>
          <w:sz w:val="18"/>
          <w:szCs w:val="18"/>
          <w:color w:val="auto"/>
        </w:rPr>
      </w:pPr>
    </w:p>
    <w:p>
      <w:pPr>
        <w:ind w:left="444" w:right="300" w:firstLine="419"/>
        <w:spacing w:after="0" w:line="277" w:lineRule="auto"/>
        <w:tabs>
          <w:tab w:leader="none" w:pos="112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make such other modifications, adjustments or amendments to outstanding Awards or this Plan as the Committee deems necessary or appropriate.</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148"/>
        </w:numPr>
        <w:rPr>
          <w:rFonts w:ascii="Arial" w:cs="Arial" w:eastAsia="Arial" w:hAnsi="Arial"/>
          <w:sz w:val="18"/>
          <w:szCs w:val="18"/>
          <w:color w:val="auto"/>
        </w:rPr>
      </w:pPr>
      <w:r>
        <w:rPr>
          <w:rFonts w:ascii="Arial" w:cs="Arial" w:eastAsia="Arial" w:hAnsi="Arial"/>
          <w:sz w:val="18"/>
          <w:szCs w:val="18"/>
          <w:i w:val="1"/>
          <w:iCs w:val="1"/>
          <w:color w:val="auto"/>
        </w:rPr>
        <w:t>Non-uniformity</w:t>
      </w:r>
      <w:r>
        <w:rPr>
          <w:rFonts w:ascii="Arial" w:cs="Arial" w:eastAsia="Arial" w:hAnsi="Arial"/>
          <w:sz w:val="18"/>
          <w:szCs w:val="18"/>
          <w:color w:val="auto"/>
        </w:rPr>
        <w:t>. Any determination made by the Committee hereunder may be made on an Award-by-Award basis.</w:t>
      </w:r>
    </w:p>
    <w:p>
      <w:pPr>
        <w:spacing w:after="0" w:line="221" w:lineRule="exact"/>
        <w:rPr>
          <w:rFonts w:ascii="Arial" w:cs="Arial" w:eastAsia="Arial" w:hAnsi="Arial"/>
          <w:sz w:val="18"/>
          <w:szCs w:val="18"/>
          <w:color w:val="auto"/>
        </w:rPr>
      </w:pPr>
    </w:p>
    <w:p>
      <w:pPr>
        <w:ind w:left="4" w:right="60" w:hanging="4"/>
        <w:spacing w:after="0" w:line="261" w:lineRule="auto"/>
        <w:tabs>
          <w:tab w:leader="none" w:pos="274"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of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shall administer this Plan in accordance with its terms,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Board may act in lieu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on any matter. The Committee shall hold meetings at such times and places as it may determine and may prescribe, amend, and rescind such rules and regulations, and procedures for the conduct of its business as it deems advisable. In the absence of a Committee, the Board shall function as the Committee for all purposes of this Plan.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58" w:name="page259"/>
    <w:bookmarkEnd w:id="258"/>
    <w:p>
      <w:pPr>
        <w:ind w:right="520" w:firstLine="436"/>
        <w:spacing w:after="0" w:line="301" w:lineRule="auto"/>
        <w:tabs>
          <w:tab w:leader="none" w:pos="685"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w:t>
      </w:r>
      <w:r>
        <w:rPr>
          <w:rFonts w:ascii="Arial" w:cs="Arial" w:eastAsia="Arial" w:hAnsi="Arial"/>
          <w:sz w:val="16"/>
          <w:szCs w:val="16"/>
          <w:color w:val="auto"/>
        </w:rPr>
        <w:t>. Subject to Applicable Law and the restrictions set forth in this Plan, the Committee may delegate administrative functions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who are Directors or Employees, and may authorize one or more executive officers to make Awards to Eligible Persons other than themselves. The Committee shall have the power to delegate to a subcommittee of the Board any of the administrative powers the Committee is authorized to exercise, subject to such resolutions, consistent with this Plan, as the Board may adopt from time to time.</w:t>
      </w:r>
    </w:p>
    <w:p>
      <w:pPr>
        <w:spacing w:after="0" w:line="157" w:lineRule="exact"/>
        <w:rPr>
          <w:rFonts w:ascii="Arial" w:cs="Arial" w:eastAsia="Arial" w:hAnsi="Arial"/>
          <w:sz w:val="16"/>
          <w:szCs w:val="16"/>
          <w:color w:val="auto"/>
        </w:rPr>
      </w:pPr>
    </w:p>
    <w:p>
      <w:pPr>
        <w:ind w:left="700" w:hanging="264"/>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Powers of the Committee</w:t>
      </w:r>
      <w:r>
        <w:rPr>
          <w:rFonts w:ascii="Arial" w:cs="Arial" w:eastAsia="Arial" w:hAnsi="Arial"/>
          <w:sz w:val="18"/>
          <w:szCs w:val="18"/>
          <w:color w:val="auto"/>
        </w:rPr>
        <w:t>. Subject to the provisions of this Plan, the Committee shall have the authority, in its sole discretion:</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07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grant Awards and to determine Eligible Persons to whom Awards shall be granted from time to time, and the number of Shares, units, or dollars to be covered by each Award;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determine, from time to time, the Fair Market Value of Shares;</w:t>
      </w:r>
    </w:p>
    <w:p>
      <w:pPr>
        <w:spacing w:after="0" w:line="117" w:lineRule="exact"/>
        <w:rPr>
          <w:rFonts w:ascii="Arial" w:cs="Arial" w:eastAsia="Arial" w:hAnsi="Arial"/>
          <w:sz w:val="18"/>
          <w:szCs w:val="18"/>
          <w:color w:val="auto"/>
        </w:rPr>
      </w:pPr>
    </w:p>
    <w:p>
      <w:pPr>
        <w:ind w:left="440" w:firstLine="419"/>
        <w:spacing w:after="0" w:line="259" w:lineRule="auto"/>
        <w:tabs>
          <w:tab w:leader="none" w:pos="117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determine, and to set forth in Award Agreements, the terms and conditions of all Awards, including what type or combination of types of Awards shall be granted; any applicable exercise or purchase price; the installments and conditions under which an Award shall become vested (which may be based on performance), terminated, expired, cancelled, or replaced; the circumstances for vesting acceleration or waiver of forfeiture restrictions; and other restrictions and limitations;</w:t>
      </w:r>
    </w:p>
    <w:p>
      <w:pPr>
        <w:spacing w:after="0" w:line="78" w:lineRule="exact"/>
        <w:rPr>
          <w:rFonts w:ascii="Arial" w:cs="Arial" w:eastAsia="Arial" w:hAnsi="Arial"/>
          <w:sz w:val="18"/>
          <w:szCs w:val="18"/>
          <w:color w:val="auto"/>
        </w:rPr>
      </w:pPr>
    </w:p>
    <w:p>
      <w:pPr>
        <w:ind w:left="440" w:right="80" w:firstLine="419"/>
        <w:spacing w:after="0" w:line="277" w:lineRule="auto"/>
        <w:tabs>
          <w:tab w:leader="none" w:pos="116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approve the forms of Award Agreements and all other documents, notices and certificates in connection therewith, which need not be identical either as to type of Award or among Participants;</w:t>
      </w:r>
    </w:p>
    <w:p>
      <w:pPr>
        <w:spacing w:after="0" w:line="62" w:lineRule="exact"/>
        <w:rPr>
          <w:rFonts w:ascii="Arial" w:cs="Arial" w:eastAsia="Arial" w:hAnsi="Arial"/>
          <w:sz w:val="18"/>
          <w:szCs w:val="18"/>
          <w:color w:val="auto"/>
        </w:rPr>
      </w:pPr>
    </w:p>
    <w:p>
      <w:pPr>
        <w:ind w:left="440" w:right="60" w:firstLine="419"/>
        <w:spacing w:after="0" w:line="311" w:lineRule="auto"/>
        <w:tabs>
          <w:tab w:leader="none" w:pos="111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to construe and interpret the terms of this Plan and any Award Agreement, to determine the meaning of their terms, to correct any defect, omission or inconsistency in this Plan or any Award Agreement, in a manner and to the extent it shall deem necessary or expedient to make this Plan or an Award fully effective, and to prescribe, amend, and rescind rules and procedures relating to this Plan and its administration;</w:t>
      </w:r>
    </w:p>
    <w:p>
      <w:pPr>
        <w:spacing w:after="0" w:line="40" w:lineRule="exact"/>
        <w:rPr>
          <w:rFonts w:ascii="Arial" w:cs="Arial" w:eastAsia="Arial" w:hAnsi="Arial"/>
          <w:sz w:val="16"/>
          <w:szCs w:val="16"/>
          <w:color w:val="auto"/>
        </w:rPr>
      </w:pPr>
    </w:p>
    <w:p>
      <w:pPr>
        <w:ind w:left="440" w:right="160" w:firstLine="419"/>
        <w:spacing w:after="0" w:line="263" w:lineRule="auto"/>
        <w:tabs>
          <w:tab w:leader="none" w:pos="116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the extent consistent with the purposes of this Plan and without amending this Plan, to modify, to cancel, or to waive the Company’s rights with respect to any Awards, to adjust or to modify Award Agreements for changes in Applicable Law, and to recognize differences in foreign law, tax policies, or customs;</w:t>
      </w:r>
    </w:p>
    <w:p>
      <w:pPr>
        <w:spacing w:after="0" w:line="75" w:lineRule="exact"/>
        <w:rPr>
          <w:rFonts w:ascii="Arial" w:cs="Arial" w:eastAsia="Arial" w:hAnsi="Arial"/>
          <w:sz w:val="18"/>
          <w:szCs w:val="18"/>
          <w:color w:val="auto"/>
        </w:rPr>
      </w:pPr>
    </w:p>
    <w:p>
      <w:pPr>
        <w:ind w:left="440" w:right="220" w:firstLine="419"/>
        <w:spacing w:after="0" w:line="259" w:lineRule="auto"/>
        <w:tabs>
          <w:tab w:leader="none" w:pos="121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to require, as a condition precedent to the grant, vesting, exercise, settlement, and/or issuance of Shares pursuant to any Award, that a Participant agree to execute a general release of claims (in any form that the Committee may require, in its sole discretion, which form may include any other provisions, </w:t>
      </w:r>
      <w:r>
        <w:rPr>
          <w:rFonts w:ascii="Arial" w:cs="Arial" w:eastAsia="Arial" w:hAnsi="Arial"/>
          <w:sz w:val="18"/>
          <w:szCs w:val="18"/>
          <w:i w:val="1"/>
          <w:iCs w:val="1"/>
          <w:color w:val="auto"/>
        </w:rPr>
        <w:t>e.g.</w:t>
      </w:r>
      <w:r>
        <w:rPr>
          <w:rFonts w:ascii="Arial" w:cs="Arial" w:eastAsia="Arial" w:hAnsi="Arial"/>
          <w:sz w:val="18"/>
          <w:szCs w:val="18"/>
          <w:color w:val="auto"/>
        </w:rPr>
        <w:t xml:space="preserve"> confidentiality and restrictions on competition, that are found in general claims release agreements that the Company utilizes or expects to utilize);</w:t>
      </w:r>
    </w:p>
    <w:p>
      <w:pPr>
        <w:spacing w:after="0" w:line="78" w:lineRule="exact"/>
        <w:rPr>
          <w:rFonts w:ascii="Arial" w:cs="Arial" w:eastAsia="Arial" w:hAnsi="Arial"/>
          <w:sz w:val="18"/>
          <w:szCs w:val="18"/>
          <w:color w:val="auto"/>
        </w:rPr>
      </w:pPr>
    </w:p>
    <w:p>
      <w:pPr>
        <w:ind w:left="440" w:right="160" w:firstLine="419"/>
        <w:spacing w:after="0" w:line="277" w:lineRule="auto"/>
        <w:tabs>
          <w:tab w:leader="none" w:pos="126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the event that the Company establishes, for itself or using the services of a third party, an automated system for the documentation, granting, settlement, or exercise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59" w:name="page260"/>
    <w:bookmarkEnd w:id="259"/>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Awards, such as a system using an Internet website or interactive voice response, to implement paperless documentation, granting, settlement, or exercise of Awards by a Participant through the use of such an automated system; and</w:t>
      </w:r>
    </w:p>
    <w:p>
      <w:pPr>
        <w:spacing w:after="0" w:line="62" w:lineRule="exact"/>
        <w:rPr>
          <w:sz w:val="20"/>
          <w:szCs w:val="20"/>
          <w:color w:val="auto"/>
        </w:rPr>
      </w:pPr>
    </w:p>
    <w:p>
      <w:pPr>
        <w:ind w:left="4" w:right="20" w:firstLine="419"/>
        <w:spacing w:after="0" w:line="277" w:lineRule="auto"/>
        <w:tabs>
          <w:tab w:leader="none" w:pos="73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to make all determinations and to take all other actions that the Committee may consider necessary or desirable to administer the Plan or to effectuate its purposes.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Local Law Adjustments and Sub-plans.</w:t>
      </w:r>
    </w:p>
    <w:p>
      <w:pPr>
        <w:spacing w:after="0" w:line="130" w:lineRule="exact"/>
        <w:rPr>
          <w:rFonts w:ascii="Arial" w:cs="Arial" w:eastAsia="Arial" w:hAnsi="Arial"/>
          <w:sz w:val="18"/>
          <w:szCs w:val="18"/>
          <w:color w:val="auto"/>
        </w:rPr>
      </w:pPr>
    </w:p>
    <w:p>
      <w:pPr>
        <w:ind w:left="984" w:right="20" w:hanging="439"/>
        <w:spacing w:after="0" w:line="254" w:lineRule="auto"/>
        <w:tabs>
          <w:tab w:leader="none" w:pos="984"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To facilitate the making of any grant of an Award under this Plan, the Committee may adopt rules and provide for such special terms for Awards to Participants who are located within the United States, foreign nationals, or employed by the Company or any Affiliate outside of the United States of America as the Committee may consider necessary or appropriate to accommodate differences in local law, tax policy or custom. Without limiting the foregoing, the Company is specifically authorized to adopt rules and procedures regarding the conversion of local currency, taxes, withholding procedures and handling of stock certificates which vary with the customs and requirements of particular countries. The Company may adopt procedures or sub-plans and establish escrow accounts and trusts, and settle Awards in cash in lieu of shares, as may be appropriate, required or applicable to particular locations and countries.</w:t>
      </w:r>
    </w:p>
    <w:p>
      <w:pPr>
        <w:spacing w:after="0" w:line="97" w:lineRule="exact"/>
        <w:rPr>
          <w:sz w:val="20"/>
          <w:szCs w:val="20"/>
          <w:color w:val="auto"/>
        </w:rPr>
      </w:pPr>
    </w:p>
    <w:p>
      <w:pPr>
        <w:ind w:left="984" w:hanging="439"/>
        <w:spacing w:after="0" w:line="268" w:lineRule="auto"/>
        <w:tabs>
          <w:tab w:leader="none" w:pos="984"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 xml:space="preserve">Action by Committee </w:t>
      </w:r>
      <w:r>
        <w:rPr>
          <w:rFonts w:ascii="Arial" w:cs="Arial" w:eastAsia="Arial" w:hAnsi="Arial"/>
          <w:sz w:val="17"/>
          <w:szCs w:val="17"/>
          <w:color w:val="auto"/>
        </w:rPr>
        <w:t>(</w:t>
      </w:r>
      <w:r>
        <w:rPr>
          <w:rFonts w:ascii="Arial" w:cs="Arial" w:eastAsia="Arial" w:hAnsi="Arial"/>
          <w:sz w:val="17"/>
          <w:szCs w:val="17"/>
          <w:i w:val="1"/>
          <w:iCs w:val="1"/>
          <w:color w:val="auto"/>
        </w:rPr>
        <w:t>e.g.</w:t>
      </w:r>
      <w:r>
        <w:rPr>
          <w:rFonts w:ascii="Arial" w:cs="Arial" w:eastAsia="Arial" w:hAnsi="Arial"/>
          <w:sz w:val="17"/>
          <w:szCs w:val="17"/>
          <w:color w:val="auto"/>
        </w:rPr>
        <w:t>, to permit participation in this Plan by Eligible Persons who are non-United States nationals or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employed or providing services outside the United States). The Committee may modify the terms of any Award under this Plan made to or held by a Participant who is then a resident, or is primarily employed or providing services, outside of the United States, in any manner deemed by the Committee to be necessary or appropriate in order that such Award shall conform to laws, regulations, and customs of the country in which the Participant is then a resident or primarily employed or providing services, or so that the value and other benefits of the Award to the Participant, as affected by non-United States tax laws and other restrictions applicable as a result of the Participant’s residence, employment, or providing services abroad, shall be comparable to the value of such Award to a Participant who is a resident, or is primarily employed or providing services, in the United States. An Award may be modified under this subsection in a manner that is inconsistent with the express terms of this Plan, so long as such modifications will not contravene any Applicable Law or regulation or result in actual liability under Section 16(b) of the Exchange Act for the Participant whose Award is modified. Each member of the Committee is entitled to, in good faith, rely or act upon any report or other information furnished to that member by an officer or other Employee of the Company or any Affiliate, the Company’s independent certified public accountants, or any executive compensation Consultant or other professional retained by the Company to assist in the administration of this Plan, or by any Participant or Beneficiary.</w:t>
      </w:r>
    </w:p>
    <w:p>
      <w:pPr>
        <w:spacing w:after="0" w:line="117"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260" w:name="page261"/>
    <w:bookmarkEnd w:id="260"/>
    <w:p>
      <w:pPr>
        <w:ind w:left="4" w:right="100" w:firstLine="436"/>
        <w:spacing w:after="0" w:line="291" w:lineRule="auto"/>
        <w:tabs>
          <w:tab w:leader="none" w:pos="699" w:val="left"/>
        </w:tabs>
        <w:numPr>
          <w:ilvl w:val="1"/>
          <w:numId w:val="15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Deference to Committee Determinations</w:t>
      </w:r>
      <w:r>
        <w:rPr>
          <w:rFonts w:ascii="Arial" w:cs="Arial" w:eastAsia="Arial" w:hAnsi="Arial"/>
          <w:sz w:val="16"/>
          <w:szCs w:val="16"/>
          <w:color w:val="auto"/>
        </w:rPr>
        <w:t>. The Committee shall have the discretion to interpret or construe ambiguous, unclear, or implied (but</w:t>
      </w:r>
      <w:r>
        <w:rPr>
          <w:rFonts w:ascii="Arial" w:cs="Arial" w:eastAsia="Arial" w:hAnsi="Arial"/>
          <w:sz w:val="16"/>
          <w:szCs w:val="16"/>
          <w:i w:val="1"/>
          <w:iCs w:val="1"/>
          <w:color w:val="auto"/>
        </w:rPr>
        <w:t xml:space="preserve"> </w:t>
      </w:r>
      <w:r>
        <w:rPr>
          <w:rFonts w:ascii="Arial" w:cs="Arial" w:eastAsia="Arial" w:hAnsi="Arial"/>
          <w:sz w:val="16"/>
          <w:szCs w:val="16"/>
          <w:color w:val="auto"/>
        </w:rPr>
        <w:t>omitted) terms as it deems to be appropriate in its sole discretion, and to make any findings of fact needed in the administration of this Plan or Award Agreements. The Committee’s prior exercise of its discretionary authority shall not obligate it to exercise its authority in a like fashion thereafter. The Committee’s interpretation and construction of any provision of this Plan, or of any Award or Award Agreement, and all determinations the Committee makes pursuant to this Plan shall be final, binding, and conclusive (subject only to the Committee’s inherent Authority to change its determinations). The validity of any such interpretation, construction, decision or finding of fact shall not be given de novo review if challenged in court, by arbitration, or in any other forum, and shall be upheld unless clearly made in bad faith or materially affected by fraud.</w:t>
      </w:r>
    </w:p>
    <w:p>
      <w:pPr>
        <w:spacing w:after="0" w:line="166" w:lineRule="exact"/>
        <w:rPr>
          <w:rFonts w:ascii="Arial" w:cs="Arial" w:eastAsia="Arial" w:hAnsi="Arial"/>
          <w:sz w:val="16"/>
          <w:szCs w:val="16"/>
          <w:color w:val="auto"/>
        </w:rPr>
      </w:pPr>
    </w:p>
    <w:p>
      <w:pPr>
        <w:ind w:left="4" w:firstLine="436"/>
        <w:spacing w:after="0" w:line="254" w:lineRule="auto"/>
        <w:tabs>
          <w:tab w:leader="none" w:pos="689"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Claims Limitations Period. </w:t>
      </w:r>
      <w:r>
        <w:rPr>
          <w:rFonts w:ascii="Arial" w:cs="Arial" w:eastAsia="Arial" w:hAnsi="Arial"/>
          <w:sz w:val="18"/>
          <w:szCs w:val="18"/>
          <w:color w:val="auto"/>
        </w:rPr>
        <w:t>Any Participant who believes he or she is being denied any benefit or right under this Plan or under any Award may</w:t>
      </w:r>
      <w:r>
        <w:rPr>
          <w:rFonts w:ascii="Arial" w:cs="Arial" w:eastAsia="Arial" w:hAnsi="Arial"/>
          <w:sz w:val="18"/>
          <w:szCs w:val="18"/>
          <w:i w:val="1"/>
          <w:iCs w:val="1"/>
          <w:color w:val="auto"/>
        </w:rPr>
        <w:t xml:space="preserve"> </w:t>
      </w:r>
      <w:r>
        <w:rPr>
          <w:rFonts w:ascii="Arial" w:cs="Arial" w:eastAsia="Arial" w:hAnsi="Arial"/>
          <w:sz w:val="18"/>
          <w:szCs w:val="18"/>
          <w:color w:val="auto"/>
        </w:rPr>
        <w:t>file a written claim with the Committee. Any claim must be delivered to the Committee within 45 days of the specific event giving rise to the claim. Untimely claims will not be processed and shall be deemed denied. The Committee, or its designee, will notify the Participant of its decision in writing as soon as administratively practicable. Claims shall be deemed denied if the Committee does not respond in writing within 120 days of the date the written claim is delivered to the Committee. The Committee’s decision is final and conclusive and binding on all persons. No lawsuit relating to this Plan may be filed before a written claim is filed with the Committee and is denied or deemed denied, and any lawsuit must be filed within one year of such denial or deemed denial or be forever barred.</w:t>
      </w:r>
    </w:p>
    <w:p>
      <w:pPr>
        <w:spacing w:after="0" w:line="194" w:lineRule="exact"/>
        <w:rPr>
          <w:rFonts w:ascii="Arial" w:cs="Arial" w:eastAsia="Arial" w:hAnsi="Arial"/>
          <w:sz w:val="18"/>
          <w:szCs w:val="18"/>
          <w:color w:val="auto"/>
        </w:rPr>
      </w:pPr>
    </w:p>
    <w:p>
      <w:pPr>
        <w:ind w:left="4" w:right="160" w:firstLine="436"/>
        <w:spacing w:after="0" w:line="273" w:lineRule="auto"/>
        <w:tabs>
          <w:tab w:leader="none" w:pos="669" w:val="left"/>
        </w:tabs>
        <w:numPr>
          <w:ilvl w:val="1"/>
          <w:numId w:val="154"/>
        </w:numPr>
        <w:rPr>
          <w:rFonts w:ascii="Arial" w:cs="Arial" w:eastAsia="Arial" w:hAnsi="Arial"/>
          <w:sz w:val="17"/>
          <w:szCs w:val="17"/>
          <w:color w:val="auto"/>
        </w:rPr>
      </w:pPr>
      <w:r>
        <w:rPr>
          <w:rFonts w:ascii="Arial" w:cs="Arial" w:eastAsia="Arial" w:hAnsi="Arial"/>
          <w:sz w:val="17"/>
          <w:szCs w:val="17"/>
          <w:i w:val="1"/>
          <w:iCs w:val="1"/>
          <w:color w:val="auto"/>
        </w:rPr>
        <w:t>No Liability; Indemnification</w:t>
      </w:r>
      <w:r>
        <w:rPr>
          <w:rFonts w:ascii="Arial" w:cs="Arial" w:eastAsia="Arial" w:hAnsi="Arial"/>
          <w:sz w:val="17"/>
          <w:szCs w:val="17"/>
          <w:color w:val="auto"/>
        </w:rPr>
        <w:t>. Neither the Board nor any Committee member, nor any Person acting at the direction of the Board 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be liable for any act, omission, interpretation, construction, or determination made in good faith with respect to this Plan, any Award, or any Award Agreement. The Company shall pay or reimburse any Director, Employee, or Consultant who in good faith takes action on behalf of this Plan, for all expenses incurred with respect to this Plan, and to the full extent allowable under Applicable Law shall indemnify each and every one of them for any claims, liabilities, and costs (including reasonable attorney’s fees) arising out of their good faith performance of duties on behalf of this Plan. The Company and its Affiliates may, but shall not be required to, obtain liability insurance for this purpose.</w:t>
      </w:r>
    </w:p>
    <w:p>
      <w:pPr>
        <w:spacing w:after="0" w:line="177" w:lineRule="exact"/>
        <w:rPr>
          <w:rFonts w:ascii="Arial" w:cs="Arial" w:eastAsia="Arial" w:hAnsi="Arial"/>
          <w:sz w:val="17"/>
          <w:szCs w:val="17"/>
          <w:color w:val="auto"/>
        </w:rPr>
      </w:pPr>
    </w:p>
    <w:p>
      <w:pPr>
        <w:ind w:left="704" w:hanging="264"/>
        <w:spacing w:after="0"/>
        <w:tabs>
          <w:tab w:leader="none" w:pos="704"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shall bear the expenses of administering this Plan.</w:t>
      </w:r>
    </w:p>
    <w:p>
      <w:pPr>
        <w:spacing w:after="0" w:line="221" w:lineRule="exact"/>
        <w:rPr>
          <w:rFonts w:ascii="Arial" w:cs="Arial" w:eastAsia="Arial" w:hAnsi="Arial"/>
          <w:sz w:val="18"/>
          <w:szCs w:val="18"/>
          <w:color w:val="auto"/>
        </w:rPr>
      </w:pPr>
    </w:p>
    <w:p>
      <w:pPr>
        <w:ind w:left="4" w:right="120" w:hanging="4"/>
        <w:spacing w:after="0" w:line="271" w:lineRule="auto"/>
        <w:tabs>
          <w:tab w:leader="none" w:pos="274" w:val="left"/>
        </w:tabs>
        <w:numPr>
          <w:ilvl w:val="0"/>
          <w:numId w:val="155"/>
        </w:numPr>
        <w:rPr>
          <w:rFonts w:ascii="Arial" w:cs="Arial" w:eastAsia="Arial" w:hAnsi="Arial"/>
          <w:sz w:val="17"/>
          <w:szCs w:val="17"/>
          <w:color w:val="auto"/>
        </w:rPr>
      </w:pPr>
      <w:r>
        <w:rPr>
          <w:rFonts w:ascii="Arial" w:cs="Arial" w:eastAsia="Arial" w:hAnsi="Arial"/>
          <w:sz w:val="17"/>
          <w:szCs w:val="17"/>
          <w:b w:val="1"/>
          <w:bCs w:val="1"/>
          <w:u w:val="single" w:color="auto"/>
          <w:color w:val="auto"/>
        </w:rPr>
        <w:t>Modification of Awards and Substitution of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limitations of this Plan, the Committee may modify an Award to accelerate the</w:t>
      </w:r>
      <w:r>
        <w:rPr>
          <w:rFonts w:ascii="Arial" w:cs="Arial" w:eastAsia="Arial" w:hAnsi="Arial"/>
          <w:sz w:val="17"/>
          <w:szCs w:val="17"/>
          <w:b w:val="1"/>
          <w:bCs w:val="1"/>
          <w:color w:val="auto"/>
        </w:rPr>
        <w:t xml:space="preserve"> </w:t>
      </w:r>
      <w:r>
        <w:rPr>
          <w:rFonts w:ascii="Arial" w:cs="Arial" w:eastAsia="Arial" w:hAnsi="Arial"/>
          <w:sz w:val="17"/>
          <w:szCs w:val="17"/>
          <w:color w:val="auto"/>
        </w:rPr>
        <w:t>rate at which an Option or SAR may be exercised, to accelerate the vesting of any Award, to extend or renew outstanding Awards, to accept the cancellation of outstanding Awards to the extent not previously exercised, or to make any change that this Plan would permit for a new Award. However, except in connection with a Change in Control or as approved by the Company’s stockholders for any period during which it is subject to the reporting requirements of the Exchange Act, the Committee may not cancel an outstanding Option or SAR whose exercise price is greater than Fair Market Value at the time of cancellation for the purpose of reissuing the Option or SAR to the Participant at a lower exercise price, or granting a replacement award of a different type, or otherwise allowing for a “repricing” within the meaning of applicable federal securities laws or other applicable governance standards. Notwithstanding the foregoing, no modification of an outstanding Award may materially and adversely affect a Participant’s rights thereunder unless either (i) the Participant provides written consent to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61" w:name="page262"/>
    <w:bookmarkEnd w:id="261"/>
    <w:p>
      <w:pPr>
        <w:ind w:left="4"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modification, (ii) before a Change in Control, the Committee determines in good faith that the modification is not materially adverse to the Participant, or (iii) such modification is permitted by another Section of this Plan. Notwithstanding the foregoing, subject to the limitations of Applicable Law, if any, and without the affected Participant’s consent, the Board may amend the terms of any one or more Awards if necessary to maintain the qualified status of the Award as an Incentive Stock Option or to bring the Award into compliance with Section 409A of the Code.</w:t>
      </w:r>
    </w:p>
    <w:p>
      <w:pPr>
        <w:spacing w:after="0" w:line="167" w:lineRule="exact"/>
        <w:rPr>
          <w:sz w:val="20"/>
          <w:szCs w:val="20"/>
          <w:color w:val="auto"/>
        </w:rPr>
      </w:pPr>
    </w:p>
    <w:p>
      <w:pPr>
        <w:ind w:left="4" w:hanging="4"/>
        <w:spacing w:after="0" w:line="288" w:lineRule="auto"/>
        <w:tabs>
          <w:tab w:leader="none" w:pos="274" w:val="left"/>
        </w:tabs>
        <w:numPr>
          <w:ilvl w:val="0"/>
          <w:numId w:val="156"/>
        </w:numPr>
        <w:rPr>
          <w:rFonts w:ascii="Arial" w:cs="Arial" w:eastAsia="Arial" w:hAnsi="Arial"/>
          <w:sz w:val="16"/>
          <w:szCs w:val="16"/>
          <w:color w:val="auto"/>
        </w:rPr>
      </w:pPr>
      <w:r>
        <w:rPr>
          <w:rFonts w:ascii="Arial" w:cs="Arial" w:eastAsia="Arial" w:hAnsi="Arial"/>
          <w:sz w:val="16"/>
          <w:szCs w:val="16"/>
          <w:b w:val="1"/>
          <w:bCs w:val="1"/>
          <w:u w:val="single" w:color="auto"/>
          <w:color w:val="auto"/>
        </w:rPr>
        <w:t>Plan Amendment and Termination</w:t>
      </w:r>
      <w:r>
        <w:rPr>
          <w:rFonts w:ascii="Arial" w:cs="Arial" w:eastAsia="Arial" w:hAnsi="Arial"/>
          <w:sz w:val="16"/>
          <w:szCs w:val="16"/>
          <w:color w:val="auto"/>
        </w:rPr>
        <w:t>. The Board may amend or terminate this Plan as it shall deem advisable;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change shall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that increases the total number of Shares reserved for issuance pursuant to Awards (except pursuant to Section 12 above) unless such change is authorized by the stockholders of the Company to the extent required by Applicable Law. A termination or amendment of this Plan shall not materially and adversely affect a Participant’s vested rights under an Award previously granted to him or her, unless the Participant consents in writing to such termination or amendment. Notwithstanding the foregoing, the Committee may amend this Plan to comply with changes in tax or securities laws or regulations, or in the interpretation thereof. Furthermore, neither the Company nor the Committee shall, without stockholder approval, amend this Plan either (a) to materially expand the class of Eligible Persons under this Plan, (b) to materially increase the benefits accruing to Participants under this Plan, (c) to materially extend the term of this Plan, (d) to expand the types of Awards available for issuance under this Plan, (e) to allow for a “repricing” within the meaning of either the federal securities laws applicable to proxy statement disclosures or other applicable governance standards, or (f) to cancel an outstanding Option whose exercise price is greater than Fair Market Value at the time of cancellation for the purpose of reissuing the Option to the Participant at a lower exercise price or granting a replacement award of a different type.</w:t>
      </w:r>
    </w:p>
    <w:p>
      <w:pPr>
        <w:spacing w:after="0" w:line="163" w:lineRule="exact"/>
        <w:rPr>
          <w:rFonts w:ascii="Arial" w:cs="Arial" w:eastAsia="Arial" w:hAnsi="Arial"/>
          <w:sz w:val="16"/>
          <w:szCs w:val="16"/>
          <w:color w:val="auto"/>
        </w:rPr>
      </w:pPr>
    </w:p>
    <w:p>
      <w:pPr>
        <w:ind w:left="4" w:right="60" w:hanging="4"/>
        <w:spacing w:after="0" w:line="282" w:lineRule="auto"/>
        <w:tabs>
          <w:tab w:leader="none" w:pos="274"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color w:val="auto"/>
        </w:rPr>
        <w:t>. If not sooner terminated by the Board, this Plan shall terminate at the close of business on the date ten years after the earlier of Board</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this Plan and its Effective Date. No Awards shall be made under this Plan after its termination.</w:t>
      </w:r>
    </w:p>
    <w:p>
      <w:pPr>
        <w:spacing w:after="0" w:line="161" w:lineRule="exact"/>
        <w:rPr>
          <w:rFonts w:ascii="Arial" w:cs="Arial" w:eastAsia="Arial" w:hAnsi="Arial"/>
          <w:sz w:val="18"/>
          <w:szCs w:val="18"/>
          <w:color w:val="auto"/>
        </w:rPr>
      </w:pPr>
    </w:p>
    <w:p>
      <w:pPr>
        <w:ind w:left="4" w:right="60" w:hanging="4"/>
        <w:spacing w:after="0" w:line="282" w:lineRule="auto"/>
        <w:tabs>
          <w:tab w:leader="none" w:pos="274"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terms of this Plan shall be governed by the laws of the State of Delaware, within the United States of America,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State’s conflict of laws rules.</w:t>
      </w:r>
    </w:p>
    <w:p>
      <w:pPr>
        <w:spacing w:after="0" w:line="161" w:lineRule="exact"/>
        <w:rPr>
          <w:rFonts w:ascii="Arial" w:cs="Arial" w:eastAsia="Arial" w:hAnsi="Arial"/>
          <w:sz w:val="18"/>
          <w:szCs w:val="18"/>
          <w:color w:val="auto"/>
        </w:rPr>
      </w:pPr>
    </w:p>
    <w:p>
      <w:pPr>
        <w:ind w:left="264" w:hanging="264"/>
        <w:spacing w:after="0"/>
        <w:tabs>
          <w:tab w:leader="none" w:pos="264"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Laws and Regulations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firstLine="436"/>
        <w:spacing w:after="0" w:line="254" w:lineRule="auto"/>
        <w:tabs>
          <w:tab w:leader="none" w:pos="689"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General Rules. </w:t>
      </w:r>
      <w:r>
        <w:rPr>
          <w:rFonts w:ascii="Arial" w:cs="Arial" w:eastAsia="Arial" w:hAnsi="Arial"/>
          <w:sz w:val="18"/>
          <w:szCs w:val="18"/>
          <w:color w:val="auto"/>
        </w:rPr>
        <w:t>This Plan, the granting of Awards, the exercise of Options and SARs, and the obligations of the Company hereunder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those to pay cash or to deliver, sell or accept the surrender of any of its Shares or other securities) shall be subject to all Applicable Law. In the event that any Shares are not registered under any Applicable Law prior to the required delivery of them pursuant to Awards, the Company may require, as a condition to their issuance or delivery, that the persons to whom the Shares are to be issued or delivered make any written representations and warranties (such as that such Shares are being acquired by the Participant for investment for the Participant’s own account and not with a view to, for resale in connection with, or with an intent of participating directly or indirectly in, any distribution of such Shares) that the Committee may reasonably require, and the Committee may in its sole discretion include a legend to such effect on the certificates representing any Shares issued or delivered pursuant to this Plan.</w:t>
      </w:r>
    </w:p>
    <w:p>
      <w:pPr>
        <w:spacing w:after="0" w:line="191" w:lineRule="exact"/>
        <w:rPr>
          <w:rFonts w:ascii="Arial" w:cs="Arial" w:eastAsia="Arial" w:hAnsi="Arial"/>
          <w:sz w:val="18"/>
          <w:szCs w:val="18"/>
          <w:color w:val="auto"/>
        </w:rPr>
      </w:pPr>
    </w:p>
    <w:p>
      <w:pPr>
        <w:ind w:left="4" w:right="520" w:firstLine="436"/>
        <w:spacing w:after="0" w:line="277" w:lineRule="auto"/>
        <w:tabs>
          <w:tab w:leader="none" w:pos="699"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Blackout Periods. </w:t>
      </w:r>
      <w:r>
        <w:rPr>
          <w:rFonts w:ascii="Arial" w:cs="Arial" w:eastAsia="Arial" w:hAnsi="Arial"/>
          <w:sz w:val="18"/>
          <w:szCs w:val="18"/>
          <w:color w:val="auto"/>
        </w:rPr>
        <w:t>Notwithstanding any contrary terms within this Plan or any Award Agreement, the Committee shall have the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to impose a “blackout” period on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62" w:name="page263"/>
    <w:bookmarkEnd w:id="262"/>
    <w:p>
      <w:pPr>
        <w:ind w:left="4"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any Option or SAR, as well as the settlement of any Award, with respect to any or all Participants (including those whose Continuous Service has ended) to the extent the Committee determines that doing so is desirable or required to comply with applicable securities laws.</w:t>
      </w:r>
    </w:p>
    <w:p>
      <w:pPr>
        <w:spacing w:after="0" w:line="124" w:lineRule="exact"/>
        <w:rPr>
          <w:sz w:val="20"/>
          <w:szCs w:val="20"/>
          <w:color w:val="auto"/>
        </w:rPr>
      </w:pPr>
    </w:p>
    <w:p>
      <w:pPr>
        <w:ind w:left="4" w:firstLine="436"/>
        <w:spacing w:after="0" w:line="284" w:lineRule="auto"/>
        <w:tabs>
          <w:tab w:leader="none" w:pos="689"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Data Privacy</w:t>
      </w:r>
      <w:r>
        <w:rPr>
          <w:rFonts w:ascii="Arial" w:cs="Arial" w:eastAsia="Arial" w:hAnsi="Arial"/>
          <w:sz w:val="16"/>
          <w:szCs w:val="16"/>
          <w:color w:val="auto"/>
        </w:rPr>
        <w:t>. As a condition of receipt of any Award, each Participant explicitly and unambiguously consents to the collection, use, and</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in electronic or other form, of personal data as described in this Section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with respect to one or more Awards under the Plan,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In addition to transferring the Data amongst themselves as necessary for the purpose of implementation, administration, and management of this Plan and Awards and the Participant’s participation in this Plan, the Company and its Affiliates each may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such Participant’s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spacing w:after="0" w:line="182" w:lineRule="exact"/>
        <w:rPr>
          <w:sz w:val="20"/>
          <w:szCs w:val="20"/>
          <w:color w:val="auto"/>
        </w:rPr>
      </w:pPr>
    </w:p>
    <w:p>
      <w:pPr>
        <w:ind w:left="4" w:firstLine="436"/>
        <w:spacing w:after="0" w:line="301" w:lineRule="auto"/>
        <w:tabs>
          <w:tab w:leader="none" w:pos="689"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Severability; Blue Pencil</w:t>
      </w:r>
      <w:r>
        <w:rPr>
          <w:rFonts w:ascii="Arial" w:cs="Arial" w:eastAsia="Arial" w:hAnsi="Arial"/>
          <w:sz w:val="16"/>
          <w:szCs w:val="16"/>
          <w:color w:val="auto"/>
        </w:rPr>
        <w:t>. In the event that any provision(s) of this Plan shall be or become invalid, illegal or unenforceable in any respect, the</w:t>
      </w:r>
      <w:r>
        <w:rPr>
          <w:rFonts w:ascii="Arial" w:cs="Arial" w:eastAsia="Arial" w:hAnsi="Arial"/>
          <w:sz w:val="16"/>
          <w:szCs w:val="16"/>
          <w:i w:val="1"/>
          <w:iCs w:val="1"/>
          <w:color w:val="auto"/>
        </w:rPr>
        <w:t xml:space="preserve"> </w:t>
      </w:r>
      <w:r>
        <w:rPr>
          <w:rFonts w:ascii="Arial" w:cs="Arial" w:eastAsia="Arial" w:hAnsi="Arial"/>
          <w:sz w:val="16"/>
          <w:szCs w:val="16"/>
          <w:color w:val="auto"/>
        </w:rPr>
        <w:t>validity, legality and enforceability of the remaining provisions shall not be affected thereby. If in the opinion of any court of competent jurisdiction such covenants are not reasonable in any respect, such court shall have the right, power, and authority to excise or modify such provision or provisions of these covenants as to the court shall appear not reasonable and to enforce the remainder of these covenants as so amended.</w:t>
      </w:r>
    </w:p>
    <w:p>
      <w:pPr>
        <w:spacing w:after="0" w:line="153" w:lineRule="exact"/>
        <w:rPr>
          <w:rFonts w:ascii="Arial" w:cs="Arial" w:eastAsia="Arial" w:hAnsi="Arial"/>
          <w:sz w:val="16"/>
          <w:szCs w:val="16"/>
          <w:color w:val="auto"/>
        </w:rPr>
      </w:pPr>
    </w:p>
    <w:p>
      <w:pPr>
        <w:ind w:left="4" w:right="80" w:hanging="4"/>
        <w:spacing w:after="0" w:line="281" w:lineRule="auto"/>
        <w:tabs>
          <w:tab w:leader="none" w:pos="274" w:val="left"/>
        </w:tabs>
        <w:numPr>
          <w:ilvl w:val="0"/>
          <w:numId w:val="159"/>
        </w:numPr>
        <w:rPr>
          <w:rFonts w:ascii="Arial" w:cs="Arial" w:eastAsia="Arial" w:hAnsi="Arial"/>
          <w:sz w:val="17"/>
          <w:szCs w:val="17"/>
          <w:color w:val="auto"/>
        </w:rPr>
      </w:pPr>
      <w:r>
        <w:rPr>
          <w:rFonts w:ascii="Arial" w:cs="Arial" w:eastAsia="Arial" w:hAnsi="Arial"/>
          <w:sz w:val="17"/>
          <w:szCs w:val="17"/>
          <w:b w:val="1"/>
          <w:bCs w:val="1"/>
          <w:u w:val="single" w:color="auto"/>
          <w:color w:val="auto"/>
        </w:rPr>
        <w:t>No Stockholder Rights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a Participant nor any transferee or Beneficiary of a Participant shall have any rights as a stockholder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any Shares underlying any Award until the date of issuance of a share certificate to such Participant, transferee, or Beneficiary for such Shares in accordance with the Company’s governing instruments and Applicable Law. Prior to the issuance of Shares or Restricted Shares pursuant to an Award, a Participant shall not have the right to vote or to receive dividends or any other rights as a</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63" w:name="page264"/>
    <w:bookmarkEnd w:id="263"/>
    <w:p>
      <w:pPr>
        <w:jc w:val="both"/>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with respect to the Shares underlying the Award (unless otherwise provided in the Award Agreement for Restricted Shares), notwithstanding its exercise in the case of Options and SARs. No adjustment will be made for a dividend or other right that is determined based on a record date prior to the date the stock certificate is issued, except as otherwise specifically provided for in this Plan or an Award Agreement.</w:t>
      </w:r>
    </w:p>
    <w:p>
      <w:pPr>
        <w:spacing w:after="0" w:line="161" w:lineRule="exact"/>
        <w:rPr>
          <w:sz w:val="20"/>
          <w:szCs w:val="20"/>
          <w:color w:val="auto"/>
        </w:rPr>
      </w:pPr>
    </w:p>
    <w:p>
      <w:pPr>
        <w:ind w:left="4" w:right="240" w:hanging="4"/>
        <w:spacing w:after="0" w:line="266" w:lineRule="auto"/>
        <w:tabs>
          <w:tab w:leader="none" w:pos="274"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No Obligation to Notify</w:t>
      </w:r>
      <w:r>
        <w:rPr>
          <w:rFonts w:ascii="Arial" w:cs="Arial" w:eastAsia="Arial" w:hAnsi="Arial"/>
          <w:sz w:val="18"/>
          <w:szCs w:val="18"/>
          <w:color w:val="auto"/>
        </w:rPr>
        <w:t>. The Company shall have no duty or obligation to any Participant to advise such holder as to the time or manner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an Award. Furthermore, the Company shall have no duty or obligation to warn or otherwise advise such holder of a pending termination or expiration of an Award or a possible period in which the Award may not be exercised.</w:t>
      </w:r>
    </w:p>
    <w:p>
      <w:pPr>
        <w:spacing w:after="0" w:line="175" w:lineRule="exact"/>
        <w:rPr>
          <w:rFonts w:ascii="Arial" w:cs="Arial" w:eastAsia="Arial" w:hAnsi="Arial"/>
          <w:sz w:val="18"/>
          <w:szCs w:val="18"/>
          <w:color w:val="auto"/>
        </w:rPr>
      </w:pPr>
    </w:p>
    <w:p>
      <w:pPr>
        <w:ind w:left="264" w:hanging="264"/>
        <w:spacing w:after="0"/>
        <w:tabs>
          <w:tab w:leader="none" w:pos="264"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 w:right="540" w:firstLine="436"/>
        <w:spacing w:after="0" w:line="277" w:lineRule="auto"/>
        <w:tabs>
          <w:tab w:leader="none" w:pos="689" w:val="left"/>
        </w:tabs>
        <w:numPr>
          <w:ilvl w:val="1"/>
          <w:numId w:val="160"/>
        </w:numPr>
        <w:rPr>
          <w:rFonts w:ascii="Arial" w:cs="Arial" w:eastAsia="Arial" w:hAnsi="Arial"/>
          <w:sz w:val="18"/>
          <w:szCs w:val="18"/>
          <w:color w:val="auto"/>
        </w:rPr>
      </w:pPr>
      <w:r>
        <w:rPr>
          <w:rFonts w:ascii="Arial" w:cs="Arial" w:eastAsia="Arial" w:hAnsi="Arial"/>
          <w:sz w:val="18"/>
          <w:szCs w:val="18"/>
          <w:i w:val="1"/>
          <w:iCs w:val="1"/>
          <w:color w:val="auto"/>
        </w:rPr>
        <w:t>Use of Proceeds from Sales of Common Stock</w:t>
      </w:r>
      <w:r>
        <w:rPr>
          <w:rFonts w:ascii="Arial" w:cs="Arial" w:eastAsia="Arial" w:hAnsi="Arial"/>
          <w:sz w:val="18"/>
          <w:szCs w:val="18"/>
          <w:color w:val="auto"/>
        </w:rPr>
        <w:t>. Proceeds from the sale of Shares pursuant to Awards shall constitute general funds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rFonts w:ascii="Arial" w:cs="Arial" w:eastAsia="Arial" w:hAnsi="Arial"/>
          <w:sz w:val="18"/>
          <w:szCs w:val="18"/>
          <w:color w:val="auto"/>
        </w:rPr>
      </w:pPr>
    </w:p>
    <w:p>
      <w:pPr>
        <w:ind w:left="4" w:right="540" w:firstLine="436"/>
        <w:spacing w:after="0" w:line="286" w:lineRule="auto"/>
        <w:tabs>
          <w:tab w:leader="none" w:pos="699" w:val="left"/>
        </w:tabs>
        <w:numPr>
          <w:ilvl w:val="1"/>
          <w:numId w:val="160"/>
        </w:numPr>
        <w:rPr>
          <w:rFonts w:ascii="Arial" w:cs="Arial" w:eastAsia="Arial" w:hAnsi="Arial"/>
          <w:sz w:val="17"/>
          <w:szCs w:val="17"/>
          <w:color w:val="auto"/>
        </w:rPr>
      </w:pPr>
      <w:r>
        <w:rPr>
          <w:rFonts w:ascii="Arial" w:cs="Arial" w:eastAsia="Arial" w:hAnsi="Arial"/>
          <w:sz w:val="17"/>
          <w:szCs w:val="17"/>
          <w:i w:val="1"/>
          <w:iCs w:val="1"/>
          <w:color w:val="auto"/>
        </w:rPr>
        <w:t>Corporate Action Constituting Grant of Awards</w:t>
      </w:r>
      <w:r>
        <w:rPr>
          <w:rFonts w:ascii="Arial" w:cs="Arial" w:eastAsia="Arial" w:hAnsi="Arial"/>
          <w:sz w:val="17"/>
          <w:szCs w:val="17"/>
          <w:color w:val="auto"/>
        </w:rPr>
        <w:t>. Unless otherwise determined by the Board, corporate action constituting a grant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of an Award to any Participant shall be deemed completed as of the date of such corporate action, regardless of when the instrument, certificate, or letter evidencing the Award is communicated to, or actually received or accepted by, the Participant.</w:t>
      </w:r>
    </w:p>
    <w:p>
      <w:pPr>
        <w:spacing w:after="0" w:line="165" w:lineRule="exact"/>
        <w:rPr>
          <w:rFonts w:ascii="Arial" w:cs="Arial" w:eastAsia="Arial" w:hAnsi="Arial"/>
          <w:sz w:val="17"/>
          <w:szCs w:val="17"/>
          <w:color w:val="auto"/>
        </w:rPr>
      </w:pPr>
    </w:p>
    <w:p>
      <w:pPr>
        <w:ind w:left="4" w:right="420" w:firstLine="436"/>
        <w:spacing w:after="0" w:line="263" w:lineRule="auto"/>
        <w:tabs>
          <w:tab w:leader="none" w:pos="689" w:val="left"/>
        </w:tabs>
        <w:numPr>
          <w:ilvl w:val="1"/>
          <w:numId w:val="160"/>
        </w:numPr>
        <w:rPr>
          <w:rFonts w:ascii="Arial" w:cs="Arial" w:eastAsia="Arial" w:hAnsi="Arial"/>
          <w:sz w:val="18"/>
          <w:szCs w:val="18"/>
          <w:color w:val="auto"/>
        </w:rPr>
      </w:pPr>
      <w:r>
        <w:rPr>
          <w:rFonts w:ascii="Arial" w:cs="Arial" w:eastAsia="Arial" w:hAnsi="Arial"/>
          <w:sz w:val="18"/>
          <w:szCs w:val="18"/>
          <w:i w:val="1"/>
          <w:iCs w:val="1"/>
          <w:color w:val="auto"/>
        </w:rPr>
        <w:t>Share Replacement</w:t>
      </w:r>
      <w:r>
        <w:rPr>
          <w:rFonts w:ascii="Arial" w:cs="Arial" w:eastAsia="Arial" w:hAnsi="Arial"/>
          <w:sz w:val="18"/>
          <w:szCs w:val="18"/>
          <w:color w:val="auto"/>
        </w:rPr>
        <w:t>. Unless prohibited by Applicable Law, the Company may substitute any consideration in lieu of providing Shares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on the exercise of an Option or SAR, or the vesting of an RSU to the extent such consideration is equal to the Fair Market Value of the Shares the Participant otherwise would receive.</w:t>
      </w:r>
    </w:p>
    <w:p>
      <w:pPr>
        <w:spacing w:after="0" w:line="179" w:lineRule="exact"/>
        <w:rPr>
          <w:rFonts w:ascii="Arial" w:cs="Arial" w:eastAsia="Arial" w:hAnsi="Arial"/>
          <w:sz w:val="18"/>
          <w:szCs w:val="18"/>
          <w:color w:val="auto"/>
        </w:rPr>
      </w:pPr>
    </w:p>
    <w:p>
      <w:pPr>
        <w:ind w:left="4" w:right="40" w:hanging="4"/>
        <w:spacing w:after="0" w:line="266" w:lineRule="auto"/>
        <w:tabs>
          <w:tab w:leader="none" w:pos="274"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Pre-IPO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contrary terms set forth in any Award Agreement, for any period preceding the date of an initial public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shall be applicable to any Shares subject to or issued pursuant to Awards. The provisions set forth below shall become null and void upon the occurrence of an initial public offering.</w:t>
      </w:r>
    </w:p>
    <w:p>
      <w:pPr>
        <w:spacing w:after="0" w:line="179" w:lineRule="exact"/>
        <w:rPr>
          <w:rFonts w:ascii="Arial" w:cs="Arial" w:eastAsia="Arial" w:hAnsi="Arial"/>
          <w:sz w:val="18"/>
          <w:szCs w:val="18"/>
          <w:color w:val="auto"/>
        </w:rPr>
      </w:pPr>
    </w:p>
    <w:p>
      <w:pPr>
        <w:ind w:left="4" w:right="160" w:firstLine="436"/>
        <w:spacing w:after="0" w:line="291" w:lineRule="auto"/>
        <w:tabs>
          <w:tab w:leader="none" w:pos="689" w:val="left"/>
        </w:tabs>
        <w:numPr>
          <w:ilvl w:val="1"/>
          <w:numId w:val="160"/>
        </w:numPr>
        <w:rPr>
          <w:rFonts w:ascii="Arial" w:cs="Arial" w:eastAsia="Arial" w:hAnsi="Arial"/>
          <w:sz w:val="16"/>
          <w:szCs w:val="16"/>
          <w:color w:val="auto"/>
        </w:rPr>
      </w:pPr>
      <w:r>
        <w:rPr>
          <w:rFonts w:ascii="Arial" w:cs="Arial" w:eastAsia="Arial" w:hAnsi="Arial"/>
          <w:sz w:val="16"/>
          <w:szCs w:val="16"/>
          <w:i w:val="1"/>
          <w:iCs w:val="1"/>
          <w:color w:val="auto"/>
        </w:rPr>
        <w:t>Repurchase Rights</w:t>
      </w:r>
      <w:r>
        <w:rPr>
          <w:rFonts w:ascii="Arial" w:cs="Arial" w:eastAsia="Arial" w:hAnsi="Arial"/>
          <w:sz w:val="16"/>
          <w:szCs w:val="16"/>
          <w:color w:val="auto"/>
        </w:rPr>
        <w:t>. At any time before an initial public offering, the Company may repurchase any Shares acquired pursuant to an Award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then Fair Market Value as determined by the Committee in good faith; </w:t>
      </w:r>
      <w:r>
        <w:rPr>
          <w:rFonts w:ascii="Arial" w:cs="Arial" w:eastAsia="Arial" w:hAnsi="Arial"/>
          <w:sz w:val="16"/>
          <w:szCs w:val="16"/>
          <w:b w:val="1"/>
          <w:bCs w:val="1"/>
          <w:i w:val="1"/>
          <w:iCs w:val="1"/>
          <w:color w:val="auto"/>
        </w:rPr>
        <w:t>provided</w:t>
      </w:r>
      <w:r>
        <w:rPr>
          <w:rFonts w:ascii="Arial" w:cs="Arial" w:eastAsia="Arial" w:hAnsi="Arial"/>
          <w:sz w:val="16"/>
          <w:szCs w:val="16"/>
          <w:color w:val="auto"/>
        </w:rPr>
        <w:t xml:space="preserve"> that if a Participant’s Continuous Service is terminated by the Company for Cause, the repurchase price shall be the lower of the purchase price the Participant paid for the Shares, if any, or the Shares’ Fair Market Value. The Company shall not exercise its repurchase right until the Shares have been held by the Participant for at least six (6) months, unless (i) the Company’s independent auditors have advised the Committee that an earlier repurchase will not trigger adverse accounting consequences or (ii) the Committee determines that any adverse accounting consequences are acceptable to the Company. The Company shall pay the repurchase price to the Participant in a lump sum or in equal monthly installments for up to 60 months, as determined by the Company in its sole discretion.</w:t>
      </w:r>
    </w:p>
    <w:p>
      <w:pPr>
        <w:spacing w:after="0" w:line="166" w:lineRule="exact"/>
        <w:rPr>
          <w:rFonts w:ascii="Arial" w:cs="Arial" w:eastAsia="Arial" w:hAnsi="Arial"/>
          <w:sz w:val="16"/>
          <w:szCs w:val="16"/>
          <w:color w:val="auto"/>
        </w:rPr>
      </w:pPr>
    </w:p>
    <w:p>
      <w:pPr>
        <w:ind w:left="4" w:right="620" w:firstLine="436"/>
        <w:spacing w:after="0" w:line="342" w:lineRule="auto"/>
        <w:tabs>
          <w:tab w:leader="none" w:pos="699" w:val="left"/>
        </w:tabs>
        <w:numPr>
          <w:ilvl w:val="1"/>
          <w:numId w:val="160"/>
        </w:numPr>
        <w:rPr>
          <w:rFonts w:ascii="Arial" w:cs="Arial" w:eastAsia="Arial" w:hAnsi="Arial"/>
          <w:sz w:val="16"/>
          <w:szCs w:val="16"/>
          <w:color w:val="auto"/>
        </w:rPr>
      </w:pPr>
      <w:r>
        <w:rPr>
          <w:rFonts w:ascii="Arial" w:cs="Arial" w:eastAsia="Arial" w:hAnsi="Arial"/>
          <w:sz w:val="16"/>
          <w:szCs w:val="16"/>
          <w:i w:val="1"/>
          <w:iCs w:val="1"/>
          <w:color w:val="auto"/>
        </w:rPr>
        <w:t>Market Stand-Off</w:t>
      </w:r>
      <w:r>
        <w:rPr>
          <w:rFonts w:ascii="Arial" w:cs="Arial" w:eastAsia="Arial" w:hAnsi="Arial"/>
          <w:sz w:val="16"/>
          <w:szCs w:val="16"/>
          <w:color w:val="auto"/>
        </w:rPr>
        <w:t>. In connection with any underwritten public offering by the Company of its equity securities pursuant to an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filed under the federal securities laws, including the Company’s initial public offering, Participants shall not directly</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64" w:name="page265"/>
    <w:bookmarkEnd w:id="26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indirectly sell, make any short sale of, loan, hypothecate, pledge, offer, grant or sell any option or other contract for the purchase of, purchase any option or other contract for the sale of, or otherwise dispose or transfer, or agree to engage in any of the foregoing transactions with respect to, any Shares acquired pursuant to Awards without the prior written consent of the Company or its underwriters. Such restriction (the “</w:t>
      </w:r>
      <w:r>
        <w:rPr>
          <w:rFonts w:ascii="Arial" w:cs="Arial" w:eastAsia="Arial" w:hAnsi="Arial"/>
          <w:sz w:val="17"/>
          <w:szCs w:val="17"/>
          <w:b w:val="1"/>
          <w:bCs w:val="1"/>
          <w:i w:val="1"/>
          <w:iCs w:val="1"/>
          <w:color w:val="auto"/>
        </w:rPr>
        <w:t>Market Stand-Off</w:t>
      </w:r>
      <w:r>
        <w:rPr>
          <w:rFonts w:ascii="Arial" w:cs="Arial" w:eastAsia="Arial" w:hAnsi="Arial"/>
          <w:sz w:val="17"/>
          <w:szCs w:val="17"/>
          <w:color w:val="auto"/>
        </w:rPr>
        <w:t>”) shall be in effect for such period of time, not exceeding 180 days, following the date of the final prospectus for the offering as may be requested by the Company or such underwriters.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such Market Stand-Off. In order to enforce the Market Stand-Off, the Company may impose stop-transfer instructions with respect to the Shares acquired pursuant to Awards until the end of the applicable stand-off period. The Company and its underwriters shall be beneficiaries of the agreement in this Section. Participants who are not Directors or officers shall be subject to this Section only if Directors and officers are subject to it.</w:t>
      </w:r>
    </w:p>
    <w:p>
      <w:pPr>
        <w:spacing w:after="0" w:line="179" w:lineRule="exact"/>
        <w:rPr>
          <w:sz w:val="20"/>
          <w:szCs w:val="20"/>
          <w:color w:val="auto"/>
        </w:rPr>
      </w:pPr>
    </w:p>
    <w:p>
      <w:pPr>
        <w:ind w:firstLine="436"/>
        <w:spacing w:after="0" w:line="289" w:lineRule="auto"/>
        <w:tabs>
          <w:tab w:leader="none" w:pos="685"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Waiver of Statutory Information Rights. </w:t>
      </w:r>
      <w:r>
        <w:rPr>
          <w:rFonts w:ascii="Arial" w:cs="Arial" w:eastAsia="Arial" w:hAnsi="Arial"/>
          <w:sz w:val="16"/>
          <w:szCs w:val="16"/>
          <w:color w:val="auto"/>
        </w:rPr>
        <w:t>By executing an Award Agreement, each Participant unconditionally and irrevocably waives any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rights that it would, but for the waiver made herein, have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Participant as may be provided for in Section 220,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Participant under any other written agreement between the Participant and the Company.</w:t>
      </w:r>
    </w:p>
    <w:p>
      <w:pPr>
        <w:spacing w:after="0" w:line="166" w:lineRule="exact"/>
        <w:rPr>
          <w:rFonts w:ascii="Arial" w:cs="Arial" w:eastAsia="Arial" w:hAnsi="Arial"/>
          <w:sz w:val="16"/>
          <w:szCs w:val="16"/>
          <w:color w:val="auto"/>
        </w:rPr>
      </w:pPr>
    </w:p>
    <w:p>
      <w:pPr>
        <w:ind w:left="700" w:hanging="264"/>
        <w:spacing w:after="0"/>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California Law Provisions</w:t>
      </w:r>
      <w:r>
        <w:rPr>
          <w:rFonts w:ascii="Arial" w:cs="Arial" w:eastAsia="Arial" w:hAnsi="Arial"/>
          <w:sz w:val="18"/>
          <w:szCs w:val="18"/>
          <w:color w:val="auto"/>
        </w:rPr>
        <w:t>. In order to conform with Applicable Laws for Awards to California residents, to the extent required by</w:t>
      </w:r>
    </w:p>
    <w:p>
      <w:pPr>
        <w:spacing w:after="0" w:line="2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Section 260.140.8 of Title 10 of the California Code of Regulations and to the extent compliance with such section is required for the Shares subject to the Award to be exempt from registration in California, any repurchase right granted prior to the date on which the Shares become publicly-traded to a person who is not an officer, Director or Consultant shall be upon the following terms:</w:t>
      </w:r>
    </w:p>
    <w:p>
      <w:pPr>
        <w:spacing w:after="0" w:line="95" w:lineRule="exact"/>
        <w:rPr>
          <w:sz w:val="20"/>
          <w:szCs w:val="20"/>
          <w:color w:val="auto"/>
        </w:rPr>
      </w:pPr>
    </w:p>
    <w:p>
      <w:pPr>
        <w:ind w:left="960" w:right="120" w:hanging="532"/>
        <w:spacing w:after="0" w:line="277" w:lineRule="auto"/>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the repurchase option gives the Company the right to repurchase the Shares upon termination of Continuous Service at not less than the Fair Market Value of the Shares to be purchased on the date of termination of Continuous Service, then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right to repurchase shall be exercised for cash or cancellation of purchase money indebtedness for the Shares within six</w:t>
      </w:r>
    </w:p>
    <w:p>
      <w:pPr>
        <w:spacing w:after="0" w:line="34" w:lineRule="exact"/>
        <w:rPr>
          <w:rFonts w:ascii="Arial" w:cs="Arial" w:eastAsia="Arial" w:hAnsi="Arial"/>
          <w:sz w:val="17"/>
          <w:szCs w:val="17"/>
          <w:color w:val="auto"/>
        </w:rPr>
      </w:pPr>
    </w:p>
    <w:p>
      <w:pPr>
        <w:ind w:left="1420"/>
        <w:spacing w:after="0" w:line="260" w:lineRule="auto"/>
        <w:rPr>
          <w:rFonts w:ascii="Arial" w:cs="Arial" w:eastAsia="Arial" w:hAnsi="Arial"/>
          <w:sz w:val="17"/>
          <w:szCs w:val="17"/>
          <w:color w:val="auto"/>
        </w:rPr>
      </w:pPr>
      <w:r>
        <w:rPr>
          <w:rFonts w:ascii="Arial" w:cs="Arial" w:eastAsia="Arial" w:hAnsi="Arial"/>
          <w:sz w:val="18"/>
          <w:szCs w:val="18"/>
          <w:color w:val="auto"/>
        </w:rPr>
        <w:t>(6) months of termination of Continuous Service (or in the case of Shares issued upon exercise of Options or SARs after such date of termination, within six (6) months after the date of the exercise),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5" w:name="page266"/>
    <w:bookmarkEnd w:id="265"/>
    <w:p>
      <w:pPr>
        <w:ind w:left="1424" w:hanging="439"/>
        <w:spacing w:after="0"/>
        <w:tabs>
          <w:tab w:leader="none" w:pos="1424"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 terminates when the Shares become publicly traded; or</w:t>
      </w:r>
    </w:p>
    <w:p>
      <w:pPr>
        <w:spacing w:after="0" w:line="130" w:lineRule="exact"/>
        <w:rPr>
          <w:rFonts w:ascii="Arial" w:cs="Arial" w:eastAsia="Arial" w:hAnsi="Arial"/>
          <w:sz w:val="18"/>
          <w:szCs w:val="18"/>
          <w:color w:val="auto"/>
        </w:rPr>
      </w:pPr>
    </w:p>
    <w:p>
      <w:pPr>
        <w:ind w:left="964" w:right="120" w:hanging="532"/>
        <w:spacing w:after="0" w:line="277" w:lineRule="auto"/>
        <w:tabs>
          <w:tab w:leader="none" w:pos="9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the repurchase option gives the Company the right to repurchase the Shares upon termination of the Participant’s Continuous Service at the original purchase price for such Shares, then</w:t>
      </w:r>
    </w:p>
    <w:p>
      <w:pPr>
        <w:spacing w:after="0" w:line="75" w:lineRule="exact"/>
        <w:rPr>
          <w:rFonts w:ascii="Arial" w:cs="Arial" w:eastAsia="Arial" w:hAnsi="Arial"/>
          <w:sz w:val="18"/>
          <w:szCs w:val="18"/>
          <w:color w:val="auto"/>
        </w:rPr>
      </w:pPr>
    </w:p>
    <w:p>
      <w:pPr>
        <w:ind w:left="1424" w:right="60" w:hanging="439"/>
        <w:spacing w:after="0" w:line="342" w:lineRule="auto"/>
        <w:tabs>
          <w:tab w:leader="none" w:pos="1424"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right to repurchase at the original purchase price shall lapse at the rate of at least twenty percent (20%) of the Shares per year over five (5) years from the Date of Grant (without respect to the date the Option or SAR was exercised or became exercisable), and</w:t>
      </w:r>
    </w:p>
    <w:p>
      <w:pPr>
        <w:spacing w:after="0" w:line="29" w:lineRule="exact"/>
        <w:rPr>
          <w:rFonts w:ascii="Arial" w:cs="Arial" w:eastAsia="Arial" w:hAnsi="Arial"/>
          <w:sz w:val="16"/>
          <w:szCs w:val="16"/>
          <w:color w:val="auto"/>
        </w:rPr>
      </w:pPr>
    </w:p>
    <w:p>
      <w:pPr>
        <w:ind w:left="1424" w:hanging="439"/>
        <w:spacing w:after="0"/>
        <w:tabs>
          <w:tab w:leader="none" w:pos="1424"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right to repurchase must be exercised for cash or cancellation of purchase money indebtedness for the Shares within six</w:t>
      </w:r>
    </w:p>
    <w:p>
      <w:pPr>
        <w:spacing w:after="0" w:line="34" w:lineRule="exact"/>
        <w:rPr>
          <w:rFonts w:ascii="Arial" w:cs="Arial" w:eastAsia="Arial" w:hAnsi="Arial"/>
          <w:sz w:val="17"/>
          <w:szCs w:val="17"/>
          <w:color w:val="auto"/>
        </w:rPr>
      </w:pPr>
    </w:p>
    <w:p>
      <w:pPr>
        <w:ind w:left="1424" w:right="120"/>
        <w:spacing w:after="0" w:line="255" w:lineRule="auto"/>
        <w:rPr>
          <w:rFonts w:ascii="Arial" w:cs="Arial" w:eastAsia="Arial" w:hAnsi="Arial"/>
          <w:sz w:val="17"/>
          <w:szCs w:val="17"/>
          <w:color w:val="auto"/>
        </w:rPr>
      </w:pPr>
      <w:r>
        <w:rPr>
          <w:rFonts w:ascii="Arial" w:cs="Arial" w:eastAsia="Arial" w:hAnsi="Arial"/>
          <w:sz w:val="18"/>
          <w:szCs w:val="18"/>
          <w:color w:val="auto"/>
        </w:rPr>
        <w:t>(6) months of termination of Continuous Service (or, in the case of Shares issued upon exercise of Options or SARs, after such date of termination, within six (6) months after the date of the exercise) or such longer period as may be agreed to by the Company and the Participant.</w:t>
      </w:r>
    </w:p>
    <w:p>
      <w:pPr>
        <w:spacing w:after="0" w:line="190"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Furthermore, at no time while there is any Option outstanding and held by a Participant who was a resident of the State of California on the date of grant of such Option, shall the total number of Shares issuable upon exercise of all outstanding stock options and the total number of Shares provided for under any stock bonus or similar plan or agreement of the Company (in each case whether the grants occur as Awards or under another plan of the Company or any Affiliate) exceed the applicable percentage as calculated in accordance with the conditions and exclusions of Section 260.140.45 of the California Code of Regulations, based on the Shares that are outstanding at the time the calculation is made.</w:t>
      </w:r>
    </w:p>
    <w:p>
      <w:pPr>
        <w:spacing w:after="0" w:line="184" w:lineRule="exact"/>
        <w:rPr>
          <w:sz w:val="20"/>
          <w:szCs w:val="20"/>
          <w:color w:val="auto"/>
        </w:rPr>
      </w:pPr>
    </w:p>
    <w:p>
      <w:pPr>
        <w:ind w:left="424" w:hanging="424"/>
        <w:spacing w:after="0"/>
        <w:tabs>
          <w:tab w:leader="none" w:pos="424"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controls or is controlled by or under common control with such Person. For the purposes of this definition, “control,” when used with respect to any Person, means the possession, direct or indirect, of the power to direct or cause the direction of the management and policies of such Person or the power to elect directors, whether through the ownership of voting securities, by contract or otherwise; and the terms “affiliated,” “controlling” and “controlled” have meanings correlative to the foregoing.</w:t>
      </w:r>
    </w:p>
    <w:p>
      <w:pPr>
        <w:spacing w:after="0" w:line="157" w:lineRule="exact"/>
        <w:rPr>
          <w:sz w:val="20"/>
          <w:szCs w:val="20"/>
          <w:color w:val="auto"/>
        </w:rPr>
      </w:pPr>
    </w:p>
    <w:p>
      <w:pPr>
        <w:ind w:left="4"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the legal requirements as shall be in place from time to time under any statute, law, ordinance, regulation, rule, code, executive order, injunction, judgment, decree or order of any governmental authority, whether of the United States, any other country, and any provincial, state, or local subdivision, that relate to the administration of equity plans or equity awards, as well as any applicable stock exchange or automated quotation system rules or regulations.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66" w:name="page267"/>
    <w:bookmarkEnd w:id="266"/>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Award</w:t>
      </w:r>
      <w:r>
        <w:rPr>
          <w:rFonts w:ascii="Arial" w:cs="Arial" w:eastAsia="Arial" w:hAnsi="Arial"/>
          <w:sz w:val="18"/>
          <w:szCs w:val="18"/>
          <w:color w:val="auto"/>
        </w:rPr>
        <w:t>” means any award made, in writing or by an electronic medium, pursuant to this Plan, including awards made in the form of an Option, a SAR, a Restricted Share, a RSU, or an Unrestricted Share, or any combination thereof, whether alternative or cumulative.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document setting forth the terms of an Award that has been authorized by the Committee. The Committee shall determine the form or forms of documents to be used, and may change them from time to time for any reason.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the person or entity designated by the Participant, in a form approved by the Company, to exercise the Participant’s rights with respect to an Award or receive payment or settlement under an Award after the Participant’s death.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that the Company determines in its reasonable discretion that any of the following situations gave rise to a Participant’s termination from Continuous Service: (i) the Participant committed, was convicted, or pled no contest or any similar plea to a misdemeanor involving acts of dishonesty or breach of fiduciary duty or any felony; (ii) the Participant willfully or negligently failed to substantially perform his or her duties and responsibilities to the Company or deliberately violated a material Company policy; (iii) the Participant committed any act of fraud, embezzlement, dishonesty, or other willful misconduct; (iv) the Participant breached his or her Employee Proprietary Information and Inventions Agreement or similar agreement with the Company; or (v) the Participant breached of any of his or her material obligations under any written agreement with the Company. The foregoing definition does not in any way limit the Company’s ability to terminate a Participant’s employment or other service relationship at any time, and the term “Company” will be interpreted herein to include any Affiliate or successor thereto, if appropriate. Furthermore, a Participant’s Continuous Service shall be deemed to have terminated for Cause within the meaning hereof if, at any time (whether before, on, or after termination of the Participant’s Continuous Service), facts or circumstances are discovered that would have justified a termination for Cause.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unless another definition is set forth in an Award Agreement, the first of the following to occur after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left="440" w:right="60" w:firstLine="419"/>
        <w:spacing w:after="0" w:line="273" w:lineRule="auto"/>
        <w:tabs>
          <w:tab w:leader="none" w:pos="1078"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Acquisition of Controlling Interest</w:t>
      </w:r>
      <w:r>
        <w:rPr>
          <w:rFonts w:ascii="Arial" w:cs="Arial" w:eastAsia="Arial" w:hAnsi="Arial"/>
          <w:sz w:val="17"/>
          <w:szCs w:val="17"/>
          <w:color w:val="auto"/>
        </w:rPr>
        <w:t>. Any Person (other than Persons who are Employees or service providers at any time more than one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year before a transaction) becomes the Beneficial Owner (within the meaning of Rule 13d-3 promulgated under the Exchange Act), directly or indirectly, of securities of the Company representing 50% or more of the combined voting power of the Company’s then outstanding securities;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foregoing shall exclude any bona fide sale of securities of the Company by the Company to one or more third parties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raising capital. In applying the preceding sentence, an agreement to vote securities shall be disregarded unless its ultimate purpose is to cause what would otherwise be a Change in Control, as reasonably determined by the Board.</w:t>
      </w:r>
    </w:p>
    <w:p>
      <w:pPr>
        <w:spacing w:after="0" w:line="69" w:lineRule="exact"/>
        <w:rPr>
          <w:rFonts w:ascii="Arial" w:cs="Arial" w:eastAsia="Arial" w:hAnsi="Arial"/>
          <w:sz w:val="17"/>
          <w:szCs w:val="17"/>
          <w:color w:val="auto"/>
        </w:rPr>
      </w:pPr>
    </w:p>
    <w:p>
      <w:pPr>
        <w:ind w:left="440" w:right="480" w:firstLine="419"/>
        <w:spacing w:after="0" w:line="308" w:lineRule="auto"/>
        <w:tabs>
          <w:tab w:leader="none" w:pos="1128"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Merger</w:t>
      </w:r>
      <w:r>
        <w:rPr>
          <w:rFonts w:ascii="Arial" w:cs="Arial" w:eastAsia="Arial" w:hAnsi="Arial"/>
          <w:sz w:val="17"/>
          <w:szCs w:val="17"/>
          <w:color w:val="auto"/>
        </w:rPr>
        <w:t>. The Company consummates a merger, or consolidation of the Company with any other corporation unless: (a)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the Company outstanding immediately before the merger or consolidation would continue to represent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40" w:top="274" w:right="539" w:bottom="1440" w:gutter="0" w:footer="0" w:header="0"/>
        </w:sectPr>
      </w:pPr>
    </w:p>
    <w:bookmarkStart w:id="267" w:name="page268"/>
    <w:bookmarkEnd w:id="267"/>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by remaining outstanding or by being converted into voting securities of the surviving entity) at least </w:t>
      </w:r>
      <w:r>
        <w:rPr>
          <w:rFonts w:ascii="Arial" w:cs="Arial" w:eastAsia="Arial" w:hAnsi="Arial"/>
          <w:sz w:val="18"/>
          <w:szCs w:val="18"/>
          <w:i w:val="1"/>
          <w:iCs w:val="1"/>
          <w:color w:val="auto"/>
        </w:rPr>
        <w:t>50%</w:t>
      </w:r>
      <w:r>
        <w:rPr>
          <w:rFonts w:ascii="Arial" w:cs="Arial" w:eastAsia="Arial" w:hAnsi="Arial"/>
          <w:sz w:val="18"/>
          <w:szCs w:val="18"/>
          <w:color w:val="auto"/>
        </w:rPr>
        <w:t xml:space="preserve"> of the combined voting power of the voting securities of the Company or such surviving entity outstanding immediately after such merger or consolidation; and (b) no Person (other than Persons who are Employees or service providers at any time more than one year before the transaction) becomes the Beneficial Owner, directly or indirectly, of securities of the Company representing 50% or more of the combined voting power of the Company’s then outstanding securities.</w:t>
      </w:r>
    </w:p>
    <w:p>
      <w:pPr>
        <w:spacing w:after="0" w:line="80" w:lineRule="exact"/>
        <w:rPr>
          <w:sz w:val="20"/>
          <w:szCs w:val="20"/>
          <w:color w:val="auto"/>
        </w:rPr>
      </w:pPr>
    </w:p>
    <w:p>
      <w:pPr>
        <w:ind w:left="440" w:right="900" w:firstLine="419"/>
        <w:spacing w:after="0" w:line="277" w:lineRule="auto"/>
        <w:tabs>
          <w:tab w:leader="none" w:pos="1178"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Sale of Assets</w:t>
      </w:r>
      <w:r>
        <w:rPr>
          <w:rFonts w:ascii="Arial" w:cs="Arial" w:eastAsia="Arial" w:hAnsi="Arial"/>
          <w:sz w:val="18"/>
          <w:szCs w:val="18"/>
          <w:color w:val="auto"/>
        </w:rPr>
        <w:t>. The stockholders of the Company approve an agreement for the sale or disposition by the Company of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Company’s assets.</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Liquidation or Dissolution</w:t>
      </w:r>
      <w:r>
        <w:rPr>
          <w:rFonts w:ascii="Arial" w:cs="Arial" w:eastAsia="Arial" w:hAnsi="Arial"/>
          <w:sz w:val="16"/>
          <w:szCs w:val="16"/>
          <w:color w:val="auto"/>
        </w:rPr>
        <w:t>. The stockholders of the Company approve a plan or proposal for liquidation or dissolution of the Company.</w:t>
      </w:r>
    </w:p>
    <w:p>
      <w:pPr>
        <w:spacing w:after="0" w:line="24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Notwithstanding the foregoing, a “Change in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2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xml:space="preserve">” means the Compensation Committee of the Board or its successor;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“Committee” means (i) the Board when acting at any time in lieu of the Committee, (ii) with respect to any decision involving an Award intended to satisfy the requirements of Code Section 162(m), a committee consisting of two or more Directors of the Company who are “outside directors” within the meaning of Code</w:t>
      </w:r>
    </w:p>
    <w:p>
      <w:pPr>
        <w:ind w:right="300"/>
        <w:spacing w:after="0" w:line="253" w:lineRule="auto"/>
        <w:rPr>
          <w:sz w:val="20"/>
          <w:szCs w:val="20"/>
          <w:color w:val="auto"/>
        </w:rPr>
      </w:pPr>
      <w:r>
        <w:rPr>
          <w:rFonts w:ascii="Arial" w:cs="Arial" w:eastAsia="Arial" w:hAnsi="Arial"/>
          <w:sz w:val="18"/>
          <w:szCs w:val="18"/>
          <w:color w:val="auto"/>
        </w:rPr>
        <w:t>Section 162(m), and (iii) with respect to any decision relating to a Reporting Person, a committee consisting solely of two or more Directors who are disinterested within the meaning of Rule 16b-3. The mere fact that a Committee member shall fail to qualify as an “outside director” or as a “disinterested director” within the meaning of Code Section 162(m) and Rule 16b-3, respectively, shall not invalidate any Award made by the Committee which Award is otherwise validly made under this Plan.</w:t>
      </w:r>
    </w:p>
    <w:p>
      <w:pPr>
        <w:spacing w:after="0" w:line="193"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common stock, $0.001 par value per share, of the Company. In the event of a change in the capital structure of the Company affecting the common stock (as provided in Section 12), the Shares resulting from such a change in the common stock shall be deemed to be Common Stock within the meaning of this Plan.</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Tyra Biosciences, Inc., a Delaware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the Company reincorporates to another jurisdiction, all references to the term “Company” shall refer to the Company in such new jurisdiction.</w:t>
      </w:r>
    </w:p>
    <w:p>
      <w:pPr>
        <w:spacing w:after="0" w:line="170"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(other than an Employee or Director), including an advisor, who provides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services to the Company, its parents, its majority-owned subsidiaries or majority-owned subsidiaries of the Company’s parent, if such services are not in connection with the offer or sale of securities in a capital-raising transaction, and do not directly or indirectly promote or maintain a market for the Company’s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8" w:name="page269"/>
    <w:bookmarkEnd w:id="268"/>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Continuous Service</w:t>
      </w:r>
      <w:r>
        <w:rPr>
          <w:rFonts w:ascii="Arial" w:cs="Arial" w:eastAsia="Arial" w:hAnsi="Arial"/>
          <w:sz w:val="16"/>
          <w:szCs w:val="16"/>
          <w:color w:val="auto"/>
        </w:rPr>
        <w:t xml:space="preserve">” means a Participant’s period of service in the absence of any interruption or termination (as defined in such individual’s employment or consulting agreement with the Company, as the case may be), as an Employee, Director, or Consultant. The following sentences apply notwithstanding anything to the contrary in any Participant’s employment or consulting agreement with the Company, as the case may be. Continuous Service shall not be considered interrupted in the case of: (i) sick leave; (ii) military leave; (iii) any other leave of absence approved by the Committee,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leave is for a period of not more than 90 days, unless reemployment upon the expiration of such leave is guaranteed by contract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statute, or unless provided otherwise pursuant to Company policy adopted from time to time; (iv) changes in status from Director to advisory director or emeritus status; or (iv) transfers between locations of the Company or between the Company and its Affiliates. Changes in status between service as an Employee, Director, and a Consultant will not constitute an interruption of Continuous Service if the individual continues to perform bona fide services for the Company. The Committee shall have the discretion to determine whether and to what extent the vesting of any Awards shall be tolled during any paid or unpaid leave of absence; </w:t>
      </w:r>
      <w:r>
        <w:rPr>
          <w:rFonts w:ascii="Arial" w:cs="Arial" w:eastAsia="Arial" w:hAnsi="Arial"/>
          <w:sz w:val="16"/>
          <w:szCs w:val="16"/>
          <w:i w:val="1"/>
          <w:iCs w:val="1"/>
          <w:color w:val="auto"/>
        </w:rPr>
        <w:t>provided</w:t>
      </w:r>
      <w:r>
        <w:rPr>
          <w:rFonts w:ascii="Arial" w:cs="Arial" w:eastAsia="Arial" w:hAnsi="Arial"/>
          <w:sz w:val="16"/>
          <w:szCs w:val="16"/>
          <w:color w:val="auto"/>
        </w:rPr>
        <w:t>, however, that in the absence of such determination, vesting for all Awards shall be tolled during any such unpaid leave (but not for a paid leave). Notwithstanding anything to the contrary contained in the Plan, an Investor Director Provider shall be deemed to have Continuous Service for so long as the Investor Director Provider makes available for service as a member of the Board at least one individual who provides services to, owns equity interests in, or is otherwise employed by, such investor or any of its Affiliates.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w:t>
      </w:r>
      <w:r>
        <w:rPr>
          <w:rFonts w:ascii="Arial" w:cs="Arial" w:eastAsia="Arial" w:hAnsi="Arial"/>
          <w:sz w:val="18"/>
          <w:szCs w:val="18"/>
          <w:color w:val="auto"/>
        </w:rPr>
        <w:t>” has the meaning set forth in Section 18(c) 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or a member of the board of directors of an Affiliate.</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Disabled</w:t>
      </w:r>
      <w:r>
        <w:rPr>
          <w:rFonts w:ascii="Arial" w:cs="Arial" w:eastAsia="Arial" w:hAnsi="Arial"/>
          <w:sz w:val="17"/>
          <w:szCs w:val="17"/>
          <w:color w:val="auto"/>
        </w:rPr>
        <w:t>” or “</w:t>
      </w:r>
      <w:r>
        <w:rPr>
          <w:rFonts w:ascii="Arial" w:cs="Arial" w:eastAsia="Arial" w:hAnsi="Arial"/>
          <w:sz w:val="17"/>
          <w:szCs w:val="17"/>
          <w:u w:val="single" w:color="auto"/>
          <w:color w:val="auto"/>
        </w:rPr>
        <w:t>Disability</w:t>
      </w:r>
      <w:r>
        <w:rPr>
          <w:rFonts w:ascii="Arial" w:cs="Arial" w:eastAsia="Arial" w:hAnsi="Arial"/>
          <w:sz w:val="17"/>
          <w:szCs w:val="17"/>
          <w:color w:val="auto"/>
        </w:rPr>
        <w:t>” means a physical or mental condition under which the Participant is receiving benefits under the Company’s long-term disability plan applicable to such Participant, and in the absence of such a plan, in the sole discretion of the Committee, the Participant –</w:t>
      </w:r>
    </w:p>
    <w:p>
      <w:pPr>
        <w:spacing w:after="0" w:line="52" w:lineRule="exact"/>
        <w:rPr>
          <w:sz w:val="20"/>
          <w:szCs w:val="20"/>
          <w:color w:val="auto"/>
        </w:rPr>
      </w:pPr>
    </w:p>
    <w:p>
      <w:pPr>
        <w:ind w:left="1420" w:hanging="439"/>
        <w:spacing w:after="0" w:line="308" w:lineRule="auto"/>
        <w:tabs>
          <w:tab w:leader="none" w:pos="14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51" w:lineRule="exact"/>
        <w:rPr>
          <w:rFonts w:ascii="Arial" w:cs="Arial" w:eastAsia="Arial" w:hAnsi="Arial"/>
          <w:sz w:val="17"/>
          <w:szCs w:val="17"/>
          <w:color w:val="auto"/>
        </w:rPr>
      </w:pPr>
    </w:p>
    <w:p>
      <w:pPr>
        <w:ind w:left="1420" w:right="40" w:hanging="439"/>
        <w:spacing w:after="0" w:line="259" w:lineRule="auto"/>
        <w:tabs>
          <w:tab w:leader="none" w:pos="1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unable to provide service as defined in such individual’s employment or consulting agreement with the Company or is unable to perform the essential functions of the Participant’s duties, as the case may be, as an Employee, Director, or Consultant.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determined in accordance with Section 1(d) 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Person</w:t>
      </w:r>
      <w:r>
        <w:rPr>
          <w:rFonts w:ascii="Arial" w:cs="Arial" w:eastAsia="Arial" w:hAnsi="Arial"/>
          <w:sz w:val="18"/>
          <w:szCs w:val="18"/>
          <w:color w:val="auto"/>
        </w:rPr>
        <w:t>” has the meaning set forth in Section 1(b).</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269" w:name="page270"/>
    <w:bookmarkEnd w:id="269"/>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whom the Company or any Affiliate classifies as an employee (including an officer) for employment tax purposes or, if in a jurisdiction that does not have employment taxes, any person whom the Company or any Affiliate classifies as an employee (including an officer), in either case whether or not that classification is correct. The payment by the Company of a director’s fee to a Director shall not be sufficient to constitute “employment” of such Director by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Company and each Subsidiary and Affiliate that employs one or more Participants.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for purposes of this Plan and unless otherwise determined or provided by the Committee in the circumstances:</w:t>
      </w:r>
    </w:p>
    <w:p>
      <w:pPr>
        <w:spacing w:after="0" w:line="129" w:lineRule="exact"/>
        <w:rPr>
          <w:sz w:val="20"/>
          <w:szCs w:val="20"/>
          <w:color w:val="auto"/>
        </w:rPr>
      </w:pPr>
    </w:p>
    <w:p>
      <w:pPr>
        <w:ind w:left="440" w:firstLine="419"/>
        <w:spacing w:after="0" w:line="272" w:lineRule="auto"/>
        <w:tabs>
          <w:tab w:leader="none" w:pos="107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the Shares are listed or admitted to trade on the New York Stock Exchange or other national securities exchange (the “</w:t>
      </w:r>
      <w:r>
        <w:rPr>
          <w:rFonts w:ascii="Arial" w:cs="Arial" w:eastAsia="Arial" w:hAnsi="Arial"/>
          <w:sz w:val="17"/>
          <w:szCs w:val="17"/>
          <w:u w:val="single" w:color="auto"/>
          <w:color w:val="auto"/>
        </w:rPr>
        <w:t>Exchange</w:t>
      </w:r>
      <w:r>
        <w:rPr>
          <w:rFonts w:ascii="Arial" w:cs="Arial" w:eastAsia="Arial" w:hAnsi="Arial"/>
          <w:sz w:val="17"/>
          <w:szCs w:val="17"/>
          <w:color w:val="auto"/>
        </w:rPr>
        <w:t>”), the Fair Market Value shall equal the closing price of Shares as reported on the composite tape for securities on the Exchange for the date in question, or, if no sales of Shares were made on the Exchange on that date, the closing price of Shares as reported on said composite tape for the next preceding day on which sales of Shares were made on the Exchange. The Committee may, however, provide with respect to one or more Awards that the Fair Market Value shall equal the closing price of Shares as reported on the composite tape for securities listed on the Exchange on the last trading day preceding the date in question or the average of the high and low trading prices of Shares as reported on the composite tape for securities listed on the Exchange for the date in question or the most recent trading day.</w:t>
      </w:r>
    </w:p>
    <w:p>
      <w:pPr>
        <w:spacing w:after="0" w:line="69" w:lineRule="exact"/>
        <w:rPr>
          <w:sz w:val="20"/>
          <w:szCs w:val="20"/>
          <w:color w:val="auto"/>
        </w:rPr>
      </w:pPr>
    </w:p>
    <w:p>
      <w:pPr>
        <w:ind w:left="440" w:right="260" w:firstLine="419"/>
        <w:spacing w:after="0" w:line="257" w:lineRule="auto"/>
        <w:tabs>
          <w:tab w:leader="none" w:pos="107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Shares are not listed or admitted to trade on an Exchange, the Fair Market Value shall be the value as reasonably determined by the Committee for purposes of the Award in the circumstances; provided that Fair Market Value shall be determined pursuant to a valuation of the Company by an independent appraisal that meets the requirements of Section 401(a)(28)(C) of the Code as of a date that is no more than 12 months before the date of grant of the Award or another methodology for determining fair market value that complies with Section 409A of the Code.</w:t>
      </w:r>
    </w:p>
    <w:p>
      <w:pPr>
        <w:spacing w:after="0" w:line="18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Committee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Committee may provide that Fair Market Value for purposes of one or more Awards will be based on an average of closing prices (or the average of high and low daily trading prices) for a specified period preceding the relevant date). Any determination as to Fair Market Value made pursuant to this Plan shall be made without regard to any restriction other than a restriction which, by its terms, will never lapse, and shall be final, binding and conclusive on all persons with respect to Awards granted under this Plan.</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means the later of (i) the date designated as the “Grant Date” within an Award Agreement, and (ii) the date on which the Committee determines the key terms of an Award,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as soon as reasonably practical thereafter the Committee both notifies the Eligible Person of the Award and enters into an Award Agreement with the Eligible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70" w:name="page271"/>
    <w:bookmarkEnd w:id="270"/>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Immediate Family</w:t>
      </w:r>
      <w:r>
        <w:rPr>
          <w:rFonts w:ascii="Arial" w:cs="Arial" w:eastAsia="Arial" w:hAnsi="Arial"/>
          <w:sz w:val="17"/>
          <w:szCs w:val="17"/>
          <w:color w:val="auto"/>
        </w:rPr>
        <w:t>” means any child, stepchild, grandchild, parent, stepparent, grandparent, spouse, former spouse, sibling, niece, nephew, mother-in-law, father-in-law, son-in-law, daughter-in-law, brother-in-law, or sister-in-law, and shall include adoptive relationships. “Immediate Family” also shall include a trust in which these persons have more than fifty percent of the beneficial interest, a foundation in which these persons (or the employee) control the management of assets, any other entity in which these persons (or the employee) own more than fifty percent of the voting interests, and any person sharing the employee’s household (other than a tenant or employee).</w:t>
      </w:r>
    </w:p>
    <w:p>
      <w:pPr>
        <w:spacing w:after="0" w:line="17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an Option that qualifies for favorable income tax treatment under Code Section 422 and is specifically designated as an ISO in an Award Agreement.</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Director Provider</w:t>
      </w:r>
      <w:r>
        <w:rPr>
          <w:rFonts w:ascii="Arial" w:cs="Arial" w:eastAsia="Arial" w:hAnsi="Arial"/>
          <w:sz w:val="18"/>
          <w:szCs w:val="18"/>
          <w:color w:val="auto"/>
        </w:rPr>
        <w:t>” means any investor in the Company (or Affiliate of such investor) if one or more of its employees, direct or indirect owners or service providers serves as a Director, to the extent such Director and such investor (or Affiliate) agree that the investor (or Affiliate) will receive any Awards that such Director otherwise would receive.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Stand-Off</w:t>
      </w:r>
      <w:r>
        <w:rPr>
          <w:rFonts w:ascii="Arial" w:cs="Arial" w:eastAsia="Arial" w:hAnsi="Arial"/>
          <w:sz w:val="18"/>
          <w:szCs w:val="18"/>
          <w:color w:val="auto"/>
        </w:rPr>
        <w:t>” has the meaning set forth in Section 22(c) 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Non-ISO</w:t>
      </w:r>
      <w:r>
        <w:rPr>
          <w:rFonts w:ascii="Arial" w:cs="Arial" w:eastAsia="Arial" w:hAnsi="Arial"/>
          <w:sz w:val="17"/>
          <w:szCs w:val="17"/>
          <w:color w:val="auto"/>
        </w:rPr>
        <w:t>” means an Option not specifically designated in an Award Agreement, or not otherwise qualifying, as an Incentive Stock Option.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right to buy Shares that is granted to a Participant pursuant to Section 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Eligible Person who holds an outstanding Award.</w:t>
      </w:r>
    </w:p>
    <w:p>
      <w:pPr>
        <w:spacing w:after="0" w:line="225"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association, trust, business trust, cooperative, corporation, general partnership, joint venture, joint-stock company, limited partnership, limited liability company, real estate investment trust, regulatory body, governmental agency or instrumentality, unincorporated organization or organizational entity.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Tyra Biosciences, Inc. 2019 Equity Incentive Plan.</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Reporting Person</w:t>
      </w:r>
      <w:r>
        <w:rPr>
          <w:rFonts w:ascii="Arial" w:cs="Arial" w:eastAsia="Arial" w:hAnsi="Arial"/>
          <w:sz w:val="18"/>
          <w:szCs w:val="18"/>
          <w:color w:val="auto"/>
        </w:rPr>
        <w:t>” means an Employee, Director, or Consultant who is required to file reports with the Securities and Exchange Commission pursuant to Section 16(a) of the Exchange Act and the rules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Limitation</w:t>
      </w:r>
      <w:r>
        <w:rPr>
          <w:rFonts w:ascii="Arial" w:cs="Arial" w:eastAsia="Arial" w:hAnsi="Arial"/>
          <w:sz w:val="18"/>
          <w:szCs w:val="18"/>
          <w:color w:val="auto"/>
        </w:rPr>
        <w:t>” has the meaning set forth in Section 9(a) 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w:t>
      </w:r>
      <w:r>
        <w:rPr>
          <w:rFonts w:ascii="Arial" w:cs="Arial" w:eastAsia="Arial" w:hAnsi="Arial"/>
          <w:sz w:val="18"/>
          <w:szCs w:val="18"/>
          <w:color w:val="auto"/>
        </w:rPr>
        <w:t>” means a Share awarded with restrictions imposed under Section 7.</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 Unit</w:t>
      </w:r>
      <w:r>
        <w:rPr>
          <w:rFonts w:ascii="Arial" w:cs="Arial" w:eastAsia="Arial" w:hAnsi="Arial"/>
          <w:sz w:val="18"/>
          <w:szCs w:val="18"/>
          <w:color w:val="auto"/>
        </w:rPr>
        <w:t>” or “</w:t>
      </w:r>
      <w:r>
        <w:rPr>
          <w:rFonts w:ascii="Arial" w:cs="Arial" w:eastAsia="Arial" w:hAnsi="Arial"/>
          <w:sz w:val="18"/>
          <w:szCs w:val="18"/>
          <w:u w:val="single" w:color="auto"/>
          <w:color w:val="auto"/>
        </w:rPr>
        <w:t>RSU</w:t>
      </w:r>
      <w:r>
        <w:rPr>
          <w:rFonts w:ascii="Arial" w:cs="Arial" w:eastAsia="Arial" w:hAnsi="Arial"/>
          <w:sz w:val="18"/>
          <w:szCs w:val="18"/>
          <w:color w:val="auto"/>
        </w:rPr>
        <w:t>” means a right granted to a Participant to receive Shares or cash upon the lapse of restrictions imposed under Section 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440" w:top="274" w:right="579" w:bottom="1440" w:gutter="0" w:footer="0" w:header="0"/>
        </w:sectPr>
      </w:pPr>
    </w:p>
    <w:bookmarkStart w:id="271" w:name="page272"/>
    <w:bookmarkEnd w:id="2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Exchange Act, as amended from time to time, or any successor provision.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405</w:t>
      </w:r>
      <w:r>
        <w:rPr>
          <w:rFonts w:ascii="Arial" w:cs="Arial" w:eastAsia="Arial" w:hAnsi="Arial"/>
          <w:sz w:val="18"/>
          <w:szCs w:val="18"/>
          <w:color w:val="auto"/>
        </w:rPr>
        <w:t>” means Rule 405 promulgated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701</w:t>
      </w:r>
      <w:r>
        <w:rPr>
          <w:rFonts w:ascii="Arial" w:cs="Arial" w:eastAsia="Arial" w:hAnsi="Arial"/>
          <w:sz w:val="18"/>
          <w:szCs w:val="18"/>
          <w:color w:val="auto"/>
        </w:rPr>
        <w:t>” means Rule 701 promulgated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 Award</w:t>
      </w:r>
      <w:r>
        <w:rPr>
          <w:rFonts w:ascii="Arial" w:cs="Arial" w:eastAsia="Arial" w:hAnsi="Arial"/>
          <w:sz w:val="18"/>
          <w:szCs w:val="18"/>
          <w:color w:val="auto"/>
        </w:rPr>
        <w:t>” has the meaning set forth in Section 5(a)(i) 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has the meaning set forth in Section 7(d) 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of the Company, as adjusted in accordance with Section 12 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Reserve</w:t>
      </w:r>
      <w:r>
        <w:rPr>
          <w:rFonts w:ascii="Arial" w:cs="Arial" w:eastAsia="Arial" w:hAnsi="Arial"/>
          <w:sz w:val="18"/>
          <w:szCs w:val="18"/>
          <w:color w:val="auto"/>
        </w:rPr>
        <w:t>” has the meaning set forth in Section 3(a) 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w:t>
      </w:r>
      <w:r>
        <w:rPr>
          <w:rFonts w:ascii="Arial" w:cs="Arial" w:eastAsia="Arial" w:hAnsi="Arial"/>
          <w:sz w:val="18"/>
          <w:szCs w:val="18"/>
          <w:color w:val="auto"/>
        </w:rPr>
        <w:t>” or “</w:t>
      </w:r>
      <w:r>
        <w:rPr>
          <w:rFonts w:ascii="Arial" w:cs="Arial" w:eastAsia="Arial" w:hAnsi="Arial"/>
          <w:sz w:val="18"/>
          <w:szCs w:val="18"/>
          <w:u w:val="single" w:color="auto"/>
          <w:color w:val="auto"/>
        </w:rPr>
        <w:t>Share Appreciation Right</w:t>
      </w:r>
      <w:r>
        <w:rPr>
          <w:rFonts w:ascii="Arial" w:cs="Arial" w:eastAsia="Arial" w:hAnsi="Arial"/>
          <w:sz w:val="18"/>
          <w:szCs w:val="18"/>
          <w:color w:val="auto"/>
        </w:rPr>
        <w:t>” means a right to receive amounts awarded under Section 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Company</w:t>
      </w:r>
      <w:r>
        <w:rPr>
          <w:rFonts w:ascii="Arial" w:cs="Arial" w:eastAsia="Arial" w:hAnsi="Arial"/>
          <w:sz w:val="18"/>
          <w:szCs w:val="18"/>
          <w:color w:val="auto"/>
        </w:rPr>
        <w:t>” has the meaning set forth in Section 12(c) of this Plan.</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Holder</w:t>
      </w:r>
      <w:r>
        <w:rPr>
          <w:rFonts w:ascii="Arial" w:cs="Arial" w:eastAsia="Arial" w:hAnsi="Arial"/>
          <w:sz w:val="18"/>
          <w:szCs w:val="18"/>
          <w:color w:val="auto"/>
        </w:rPr>
        <w:t>” means a Person who owns (within the meaning of Code Section 422) stock representing more than ten percent (10%) of the combined voting power of all classes of stock of the Company.</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Shares</w:t>
      </w:r>
      <w:r>
        <w:rPr>
          <w:rFonts w:ascii="Arial" w:cs="Arial" w:eastAsia="Arial" w:hAnsi="Arial"/>
          <w:sz w:val="18"/>
          <w:szCs w:val="18"/>
          <w:color w:val="auto"/>
        </w:rPr>
        <w:t>” mean Shares that are both awarded to Participants pursuant to Section 7 of this Plan, and not subject to a “substantial risk of forfeiture” within the meaning of Code Section 83.</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Taxes</w:t>
      </w:r>
      <w:r>
        <w:rPr>
          <w:rFonts w:ascii="Arial" w:cs="Arial" w:eastAsia="Arial" w:hAnsi="Arial"/>
          <w:sz w:val="18"/>
          <w:szCs w:val="18"/>
          <w:color w:val="auto"/>
        </w:rPr>
        <w:t>” means the aggregate minimum amount of federal, state, local and foreign income, social insurance, payroll, and other taxes that the Company and any Affiliates are required or permitted to withhold in connection with any Award.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Tyra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74295</wp:posOffset>
            </wp:positionV>
            <wp:extent cx="1474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74295</wp:posOffset>
            </wp:positionV>
            <wp:extent cx="1474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By this Option Agreement, Tyra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attached as Exhibit A), effective as of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set forth below. If this Option Agreement conflicts with the Plan, the Plan will control. Capitalized terms not explicitly defined herein are defined in the Plan. The details of your Option, in addition to those set forth in the Plan, are as follows:</w:t>
      </w:r>
    </w:p>
    <w:p>
      <w:pPr>
        <w:spacing w:after="0" w:line="183" w:lineRule="exact"/>
        <w:rPr>
          <w:sz w:val="20"/>
          <w:szCs w:val="20"/>
          <w:color w:val="auto"/>
        </w:rPr>
      </w:pPr>
    </w:p>
    <w:p>
      <w:pPr>
        <w:ind w:right="60" w:firstLine="436"/>
        <w:spacing w:after="0" w:line="282" w:lineRule="auto"/>
        <w:tabs>
          <w:tab w:leader="none" w:pos="6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would like to give you the opportunity under the Plan to purchase all or any part of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Option” as provided below.</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66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Optionholder Name:</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87"/>
        </w:trPr>
        <w:tc>
          <w:tcPr>
            <w:tcW w:w="2660" w:type="dxa"/>
            <w:vAlign w:val="bottom"/>
          </w:tcPr>
          <w:p>
            <w:pPr>
              <w:jc w:val="right"/>
              <w:ind w:right="70"/>
              <w:spacing w:after="0" w:line="188" w:lineRule="exact"/>
              <w:rPr>
                <w:sz w:val="20"/>
                <w:szCs w:val="20"/>
                <w:color w:val="auto"/>
              </w:rPr>
            </w:pPr>
            <w:r>
              <w:rPr>
                <w:rFonts w:ascii="Arial" w:cs="Arial" w:eastAsia="Arial" w:hAnsi="Arial"/>
                <w:sz w:val="18"/>
                <w:szCs w:val="18"/>
                <w:b w:val="1"/>
                <w:bCs w:val="1"/>
                <w:color w:val="auto"/>
              </w:rPr>
              <w:t>Grant Date:</w:t>
            </w:r>
          </w:p>
        </w:tc>
        <w:tc>
          <w:tcPr>
            <w:tcW w:w="7940" w:type="dxa"/>
            <w:vAlign w:val="bottom"/>
            <w:gridSpan w:val="3"/>
          </w:tcPr>
          <w:p>
            <w:pPr>
              <w:ind w:left="160"/>
              <w:spacing w:after="0" w:line="188"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2660" w:type="dxa"/>
            <w:vAlign w:val="bottom"/>
          </w:tcPr>
          <w:p>
            <w:pPr>
              <w:jc w:val="right"/>
              <w:ind w:right="70"/>
              <w:spacing w:after="0"/>
              <w:rPr>
                <w:sz w:val="20"/>
                <w:szCs w:val="20"/>
                <w:color w:val="auto"/>
              </w:rPr>
            </w:pPr>
            <w:r>
              <w:rPr>
                <w:rFonts w:ascii="Arial" w:cs="Arial" w:eastAsia="Arial" w:hAnsi="Arial"/>
                <w:sz w:val="18"/>
                <w:szCs w:val="18"/>
                <w:b w:val="1"/>
                <w:bCs w:val="1"/>
                <w:color w:val="auto"/>
              </w:rPr>
              <w:t>Type of Option:</w:t>
            </w: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w:t>
            </w:r>
            <w:r>
              <w:rPr>
                <w:rFonts w:ascii="Arial" w:cs="Arial" w:eastAsia="Arial" w:hAnsi="Arial"/>
                <w:sz w:val="18"/>
                <w:szCs w:val="18"/>
                <w:b w:val="1"/>
                <w:bCs w:val="1"/>
                <w:color w:val="auto"/>
              </w:rPr>
              <w:t>Incentive Stock Option (</w:t>
            </w:r>
            <w:r>
              <w:rPr>
                <w:rFonts w:ascii="Arial" w:cs="Arial" w:eastAsia="Arial" w:hAnsi="Arial"/>
                <w:sz w:val="18"/>
                <w:szCs w:val="18"/>
                <w:color w:val="auto"/>
              </w:rPr>
              <w:t>“</w:t>
            </w:r>
            <w:r>
              <w:rPr>
                <w:rFonts w:ascii="Arial" w:cs="Arial" w:eastAsia="Arial" w:hAnsi="Arial"/>
                <w:sz w:val="18"/>
                <w:szCs w:val="18"/>
                <w:b w:val="1"/>
                <w:bCs w:val="1"/>
                <w:i w:val="1"/>
                <w:iCs w:val="1"/>
                <w:color w:val="auto"/>
              </w:rPr>
              <w:t>ISO</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2"/>
        </w:trPr>
        <w:tc>
          <w:tcPr>
            <w:tcW w:w="26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8"/>
              </w:rPr>
              <w:t>Number of Shares Subject to the</w:t>
            </w: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w:t>
            </w:r>
            <w:r>
              <w:rPr>
                <w:rFonts w:ascii="Arial" w:cs="Arial" w:eastAsia="Arial" w:hAnsi="Arial"/>
                <w:sz w:val="18"/>
                <w:szCs w:val="18"/>
                <w:b w:val="1"/>
                <w:bCs w:val="1"/>
                <w:color w:val="auto"/>
              </w:rPr>
              <w:t>Non-Incentive Stock Option (</w:t>
            </w:r>
            <w:r>
              <w:rPr>
                <w:rFonts w:ascii="Arial" w:cs="Arial" w:eastAsia="Arial" w:hAnsi="Arial"/>
                <w:sz w:val="18"/>
                <w:szCs w:val="18"/>
                <w:color w:val="auto"/>
              </w:rPr>
              <w:t>“</w:t>
            </w:r>
            <w:r>
              <w:rPr>
                <w:rFonts w:ascii="Arial" w:cs="Arial" w:eastAsia="Arial" w:hAnsi="Arial"/>
                <w:sz w:val="18"/>
                <w:szCs w:val="18"/>
                <w:b w:val="1"/>
                <w:bCs w:val="1"/>
                <w:i w:val="1"/>
                <w:iCs w:val="1"/>
                <w:color w:val="auto"/>
              </w:rPr>
              <w:t>Non-ISO</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2660" w:type="dxa"/>
            <w:vAlign w:val="bottom"/>
            <w:vMerge w:val="continue"/>
          </w:tcPr>
          <w:p>
            <w:pPr>
              <w:spacing w:after="0"/>
              <w:rPr>
                <w:sz w:val="18"/>
                <w:szCs w:val="18"/>
                <w:color w:val="auto"/>
              </w:rPr>
            </w:pPr>
          </w:p>
        </w:tc>
        <w:tc>
          <w:tcPr>
            <w:tcW w:w="920" w:type="dxa"/>
            <w:vAlign w:val="bottom"/>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60" w:type="dxa"/>
            <w:vAlign w:val="bottom"/>
          </w:tcPr>
          <w:p>
            <w:pPr>
              <w:jc w:val="right"/>
              <w:ind w:right="70"/>
              <w:spacing w:after="0"/>
              <w:rPr>
                <w:sz w:val="20"/>
                <w:szCs w:val="20"/>
                <w:color w:val="auto"/>
              </w:rPr>
            </w:pPr>
            <w:r>
              <w:rPr>
                <w:rFonts w:ascii="Arial" w:cs="Arial" w:eastAsia="Arial" w:hAnsi="Arial"/>
                <w:sz w:val="18"/>
                <w:szCs w:val="18"/>
                <w:b w:val="1"/>
                <w:bCs w:val="1"/>
                <w:color w:val="auto"/>
              </w:rPr>
              <w:t>Vesting Schedule:</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w w:val="91"/>
              </w:rPr>
              <w:t>The shares of common stock underlying the Option shall vest as follows: (i) #,### shares shall vest and be</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w w:val="94"/>
              </w:rPr>
              <w:t>exercisable on the one-year anniversary of the date of grant, and (ii) commencing monthly after the first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anniversary of the date of grant, ### shares shall vest and become exercisable (provided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that on the 48th month after the date of grant, ### shares shall vest and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become exercisable).</w:t>
            </w:r>
          </w:p>
        </w:tc>
        <w:tc>
          <w:tcPr>
            <w:tcW w:w="0" w:type="dxa"/>
            <w:vAlign w:val="bottom"/>
          </w:tcPr>
          <w:p>
            <w:pPr>
              <w:spacing w:after="0"/>
              <w:rPr>
                <w:sz w:val="1"/>
                <w:szCs w:val="1"/>
                <w:color w:val="auto"/>
              </w:rPr>
            </w:pPr>
          </w:p>
        </w:tc>
      </w:tr>
      <w:tr>
        <w:trPr>
          <w:trHeight w:val="291"/>
        </w:trPr>
        <w:tc>
          <w:tcPr>
            <w:tcW w:w="266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Vesting Commencement Date:</w:t>
            </w: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Grant Date</w:t>
            </w:r>
          </w:p>
        </w:tc>
        <w:tc>
          <w:tcPr>
            <w:tcW w:w="0" w:type="dxa"/>
            <w:vAlign w:val="bottom"/>
          </w:tcPr>
          <w:p>
            <w:pPr>
              <w:spacing w:after="0"/>
              <w:rPr>
                <w:sz w:val="1"/>
                <w:szCs w:val="1"/>
                <w:color w:val="auto"/>
              </w:rPr>
            </w:pPr>
          </w:p>
        </w:tc>
      </w:tr>
      <w:tr>
        <w:trPr>
          <w:trHeight w:val="222"/>
        </w:trPr>
        <w:tc>
          <w:tcPr>
            <w:tcW w:w="26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Exercise Price per Share:</w:t>
            </w: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Date:</w:t>
            </w:r>
          </w:p>
        </w:tc>
        <w:tc>
          <w:tcPr>
            <w:tcW w:w="0" w:type="dxa"/>
            <w:vAlign w:val="bottom"/>
          </w:tcPr>
          <w:p>
            <w:pPr>
              <w:spacing w:after="0"/>
              <w:rPr>
                <w:sz w:val="1"/>
                <w:szCs w:val="1"/>
                <w:color w:val="auto"/>
              </w:rPr>
            </w:pPr>
          </w:p>
        </w:tc>
      </w:tr>
      <w:tr>
        <w:trPr>
          <w:trHeight w:val="203"/>
        </w:trPr>
        <w:tc>
          <w:tcPr>
            <w:tcW w:w="2660" w:type="dxa"/>
            <w:vAlign w:val="bottom"/>
            <w:vMerge w:val="continue"/>
          </w:tcPr>
          <w:p>
            <w:pPr>
              <w:spacing w:after="0"/>
              <w:rPr>
                <w:sz w:val="17"/>
                <w:szCs w:val="17"/>
                <w:color w:val="auto"/>
              </w:rPr>
            </w:pPr>
          </w:p>
        </w:tc>
        <w:tc>
          <w:tcPr>
            <w:tcW w:w="92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Exercise Schedule (subject to</w:t>
            </w: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0" w:type="dxa"/>
            <w:vAlign w:val="bottom"/>
          </w:tcPr>
          <w:p>
            <w:pPr>
              <w:spacing w:after="0"/>
              <w:rPr>
                <w:sz w:val="1"/>
                <w:szCs w:val="1"/>
                <w:color w:val="auto"/>
              </w:rPr>
            </w:pPr>
          </w:p>
        </w:tc>
      </w:tr>
      <w:tr>
        <w:trPr>
          <w:trHeight w:val="230"/>
        </w:trPr>
        <w:tc>
          <w:tcPr>
            <w:tcW w:w="2660" w:type="dxa"/>
            <w:vAlign w:val="bottom"/>
          </w:tcPr>
          <w:p>
            <w:pPr>
              <w:jc w:val="right"/>
              <w:ind w:right="70"/>
              <w:spacing w:after="0"/>
              <w:rPr>
                <w:sz w:val="20"/>
                <w:szCs w:val="20"/>
                <w:color w:val="auto"/>
              </w:rPr>
            </w:pPr>
            <w:r>
              <w:rPr>
                <w:rFonts w:ascii="Arial" w:cs="Arial" w:eastAsia="Arial" w:hAnsi="Arial"/>
                <w:sz w:val="18"/>
                <w:szCs w:val="18"/>
                <w:b w:val="1"/>
                <w:bCs w:val="1"/>
                <w:color w:val="auto"/>
              </w:rPr>
              <w:t>Section 4 below):</w:t>
            </w: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c>
          <w:tcPr>
            <w:tcW w:w="0" w:type="dxa"/>
            <w:vAlign w:val="bottom"/>
          </w:tcPr>
          <w:p>
            <w:pPr>
              <w:spacing w:after="0"/>
              <w:rPr>
                <w:sz w:val="1"/>
                <w:szCs w:val="1"/>
                <w:color w:val="auto"/>
              </w:rPr>
            </w:pPr>
          </w:p>
        </w:tc>
      </w:tr>
      <w:tr>
        <w:trPr>
          <w:trHeight w:val="216"/>
        </w:trPr>
        <w:tc>
          <w:tcPr>
            <w:tcW w:w="2660" w:type="dxa"/>
            <w:vAlign w:val="bottom"/>
          </w:tcPr>
          <w:p>
            <w:pPr>
              <w:jc w:val="right"/>
              <w:ind w:right="70"/>
              <w:spacing w:after="0"/>
              <w:rPr>
                <w:sz w:val="20"/>
                <w:szCs w:val="20"/>
                <w:color w:val="auto"/>
              </w:rPr>
            </w:pPr>
            <w:r>
              <w:rPr>
                <w:rFonts w:ascii="Arial" w:cs="Arial" w:eastAsia="Arial" w:hAnsi="Arial"/>
                <w:sz w:val="18"/>
                <w:szCs w:val="18"/>
                <w:b w:val="1"/>
                <w:bCs w:val="1"/>
                <w:color w:val="auto"/>
              </w:rPr>
              <w:t>Expiration Date:</w:t>
            </w: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ten-year anniversary of the Grant Date.</w:t>
            </w:r>
          </w:p>
        </w:tc>
        <w:tc>
          <w:tcPr>
            <w:tcW w:w="0" w:type="dxa"/>
            <w:vAlign w:val="bottom"/>
          </w:tcPr>
          <w:p>
            <w:pPr>
              <w:spacing w:after="0"/>
              <w:rPr>
                <w:sz w:val="1"/>
                <w:szCs w:val="1"/>
                <w:color w:val="auto"/>
              </w:rPr>
            </w:pPr>
          </w:p>
        </w:tc>
      </w:tr>
      <w:tr>
        <w:trPr>
          <w:trHeight w:val="249"/>
        </w:trPr>
        <w:tc>
          <w:tcPr>
            <w:tcW w:w="2660" w:type="dxa"/>
            <w:vAlign w:val="bottom"/>
          </w:tcPr>
          <w:p>
            <w:pPr>
              <w:spacing w:after="0"/>
              <w:rPr>
                <w:sz w:val="21"/>
                <w:szCs w:val="21"/>
                <w:color w:val="auto"/>
              </w:rPr>
            </w:pP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The five-year anniversary of the Grant Date. </w:t>
            </w:r>
            <w:r>
              <w:rPr>
                <w:rFonts w:ascii="Arial" w:cs="Arial" w:eastAsia="Arial" w:hAnsi="Arial"/>
                <w:sz w:val="18"/>
                <w:szCs w:val="18"/>
                <w:i w:val="1"/>
                <w:iCs w:val="1"/>
                <w:color w:val="auto"/>
                <w:w w:val="92"/>
              </w:rPr>
              <w:t>(Select if the Participant is a Ten Percent Holder receiving</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7940" w:type="dxa"/>
            <w:vAlign w:val="bottom"/>
            <w:gridSpan w:val="3"/>
          </w:tcPr>
          <w:p>
            <w:pPr>
              <w:ind w:left="520"/>
              <w:spacing w:after="0"/>
              <w:rPr>
                <w:sz w:val="20"/>
                <w:szCs w:val="20"/>
                <w:color w:val="auto"/>
              </w:rPr>
            </w:pPr>
            <w:r>
              <w:rPr>
                <w:rFonts w:ascii="Arial" w:cs="Arial" w:eastAsia="Arial" w:hAnsi="Arial"/>
                <w:sz w:val="18"/>
                <w:szCs w:val="18"/>
                <w:i w:val="1"/>
                <w:iCs w:val="1"/>
                <w:color w:val="auto"/>
              </w:rPr>
              <w:t>an ISO.)</w:t>
            </w:r>
          </w:p>
        </w:tc>
        <w:tc>
          <w:tcPr>
            <w:tcW w:w="0" w:type="dxa"/>
            <w:vAlign w:val="bottom"/>
          </w:tcPr>
          <w:p>
            <w:pPr>
              <w:spacing w:after="0"/>
              <w:rPr>
                <w:sz w:val="1"/>
                <w:szCs w:val="1"/>
                <w:color w:val="auto"/>
              </w:rPr>
            </w:pPr>
          </w:p>
        </w:tc>
      </w:tr>
      <w:tr>
        <w:trPr>
          <w:trHeight w:val="230"/>
        </w:trPr>
        <w:tc>
          <w:tcPr>
            <w:tcW w:w="26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Payment:</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In all events unvested Options expire on the date your Continuous Service terminates.</w:t>
            </w:r>
          </w:p>
        </w:tc>
        <w:tc>
          <w:tcPr>
            <w:tcW w:w="0" w:type="dxa"/>
            <w:vAlign w:val="bottom"/>
          </w:tcPr>
          <w:p>
            <w:pPr>
              <w:spacing w:after="0"/>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7940" w:type="dxa"/>
            <w:vAlign w:val="bottom"/>
            <w:gridSpan w:val="3"/>
          </w:tcPr>
          <w:p>
            <w:pPr>
              <w:ind w:left="160"/>
              <w:spacing w:after="0" w:line="183" w:lineRule="exact"/>
              <w:rPr>
                <w:sz w:val="20"/>
                <w:szCs w:val="20"/>
                <w:color w:val="auto"/>
              </w:rPr>
            </w:pPr>
            <w:r>
              <w:rPr>
                <w:rFonts w:ascii="Arial" w:cs="Arial" w:eastAsia="Arial" w:hAnsi="Arial"/>
                <w:sz w:val="18"/>
                <w:szCs w:val="18"/>
                <w:color w:val="auto"/>
              </w:rPr>
              <w:t>By one or a combination of the following items (described in Plan Section 5(c)):</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 or check payable to the Company</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delivery of already-owned Shares, as described in the Plan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a “net exercise” arrangement (only if this is a Non-ISO), as described in the Plan</w:t>
            </w:r>
          </w:p>
        </w:tc>
        <w:tc>
          <w:tcPr>
            <w:tcW w:w="0" w:type="dxa"/>
            <w:vAlign w:val="bottom"/>
          </w:tcPr>
          <w:p>
            <w:pPr>
              <w:spacing w:after="0"/>
              <w:rPr>
                <w:sz w:val="1"/>
                <w:szCs w:val="1"/>
                <w:color w:val="auto"/>
              </w:rPr>
            </w:pPr>
          </w:p>
        </w:tc>
      </w:tr>
      <w:tr>
        <w:trPr>
          <w:trHeight w:val="283"/>
        </w:trPr>
        <w:tc>
          <w:tcPr>
            <w:tcW w:w="2660" w:type="dxa"/>
            <w:vAlign w:val="bottom"/>
          </w:tcPr>
          <w:p>
            <w:pPr>
              <w:spacing w:after="0"/>
              <w:rPr>
                <w:sz w:val="24"/>
                <w:szCs w:val="24"/>
                <w:color w:val="auto"/>
              </w:rPr>
            </w:pPr>
          </w:p>
        </w:tc>
        <w:tc>
          <w:tcPr>
            <w:tcW w:w="79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cashless exercise, as described in the Plan</w:t>
            </w:r>
          </w:p>
        </w:tc>
        <w:tc>
          <w:tcPr>
            <w:tcW w:w="0" w:type="dxa"/>
            <w:vAlign w:val="bottom"/>
          </w:tcPr>
          <w:p>
            <w:pPr>
              <w:spacing w:after="0"/>
              <w:rPr>
                <w:sz w:val="1"/>
                <w:szCs w:val="1"/>
                <w:color w:val="auto"/>
              </w:rPr>
            </w:pPr>
          </w:p>
        </w:tc>
      </w:tr>
      <w:tr>
        <w:trPr>
          <w:trHeight w:val="358"/>
        </w:trPr>
        <w:tc>
          <w:tcPr>
            <w:tcW w:w="2660" w:type="dxa"/>
            <w:vAlign w:val="bottom"/>
          </w:tcPr>
          <w:p>
            <w:pPr>
              <w:spacing w:after="0"/>
              <w:rPr>
                <w:sz w:val="24"/>
                <w:szCs w:val="24"/>
                <w:color w:val="auto"/>
              </w:rPr>
            </w:pPr>
          </w:p>
        </w:tc>
        <w:tc>
          <w:tcPr>
            <w:tcW w:w="7940" w:type="dxa"/>
            <w:vAlign w:val="bottom"/>
            <w:gridSpan w:val="3"/>
          </w:tcPr>
          <w:p>
            <w:pPr>
              <w:ind w:left="23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273" w:name="page274"/>
    <w:bookmarkEnd w:id="273"/>
    <w:p>
      <w:pPr>
        <w:ind w:right="20" w:firstLine="436"/>
        <w:spacing w:after="0" w:line="282" w:lineRule="auto"/>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will vest as provided in Section 1 above. Subject to the terms of any Employment Agreement then in effect, vesting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upon the termination of your Continuous Service as set forth in the Plan.</w:t>
      </w:r>
    </w:p>
    <w:p>
      <w:pPr>
        <w:spacing w:after="0" w:line="161" w:lineRule="exact"/>
        <w:rPr>
          <w:rFonts w:ascii="Arial" w:cs="Arial" w:eastAsia="Arial" w:hAnsi="Arial"/>
          <w:sz w:val="18"/>
          <w:szCs w:val="18"/>
          <w:b w:val="1"/>
          <w:bCs w:val="1"/>
          <w:color w:val="auto"/>
        </w:rPr>
      </w:pPr>
    </w:p>
    <w:p>
      <w:pPr>
        <w:ind w:right="380" w:firstLine="436"/>
        <w:spacing w:after="0" w:line="282" w:lineRule="auto"/>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subject to your Option and your exercise price per share in 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above may be adjusted as provided under the Plan.</w:t>
      </w:r>
    </w:p>
    <w:p>
      <w:pPr>
        <w:spacing w:after="0" w:line="161" w:lineRule="exact"/>
        <w:rPr>
          <w:rFonts w:ascii="Arial" w:cs="Arial" w:eastAsia="Arial" w:hAnsi="Arial"/>
          <w:sz w:val="18"/>
          <w:szCs w:val="18"/>
          <w:b w:val="1"/>
          <w:bCs w:val="1"/>
          <w:color w:val="auto"/>
        </w:rPr>
      </w:pPr>
    </w:p>
    <w:p>
      <w:pPr>
        <w:ind w:left="620" w:hanging="184"/>
        <w:spacing w:after="0"/>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Plan Section 5(i) is incorporated herein by reference.</w:t>
      </w:r>
    </w:p>
    <w:p>
      <w:pPr>
        <w:spacing w:after="0" w:line="225" w:lineRule="exact"/>
        <w:rPr>
          <w:rFonts w:ascii="Arial" w:cs="Arial" w:eastAsia="Arial" w:hAnsi="Arial"/>
          <w:sz w:val="18"/>
          <w:szCs w:val="18"/>
          <w:b w:val="1"/>
          <w:bCs w:val="1"/>
          <w:color w:val="auto"/>
        </w:rPr>
      </w:pPr>
    </w:p>
    <w:p>
      <w:pPr>
        <w:ind w:right="140" w:firstLine="436"/>
        <w:spacing w:after="0" w:line="266" w:lineRule="auto"/>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PRIOR TO</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“Exercise Schedule” in Section 1 above indicates “Early Exercise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 may elect at any time that is both (i) during the period of your Continuous Service and (ii) during the term of your Option, to exercise all or part of your Option, including the unvested portion of your Option;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however, that:</w:t>
      </w:r>
    </w:p>
    <w:p>
      <w:pPr>
        <w:spacing w:after="0" w:line="179" w:lineRule="exact"/>
        <w:rPr>
          <w:rFonts w:ascii="Arial" w:cs="Arial" w:eastAsia="Arial" w:hAnsi="Arial"/>
          <w:sz w:val="18"/>
          <w:szCs w:val="18"/>
          <w:b w:val="1"/>
          <w:bCs w:val="1"/>
          <w:color w:val="auto"/>
        </w:rPr>
      </w:pPr>
    </w:p>
    <w:p>
      <w:pPr>
        <w:ind w:left="1240" w:hanging="253"/>
        <w:spacing w:after="0"/>
        <w:tabs>
          <w:tab w:leader="none" w:pos="1240"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a partial exercise of your Option will be deemed to cover first vested Shares and then the earliest vesting installment of unvested</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Shares;</w:t>
      </w:r>
    </w:p>
    <w:p>
      <w:pPr>
        <w:spacing w:after="0" w:line="210" w:lineRule="exact"/>
        <w:rPr>
          <w:rFonts w:ascii="Arial" w:cs="Arial" w:eastAsia="Arial" w:hAnsi="Arial"/>
          <w:sz w:val="17"/>
          <w:szCs w:val="17"/>
          <w:b w:val="1"/>
          <w:bCs w:val="1"/>
          <w:color w:val="auto"/>
        </w:rPr>
      </w:pPr>
    </w:p>
    <w:p>
      <w:pPr>
        <w:ind w:right="160" w:firstLine="987"/>
        <w:spacing w:after="0" w:line="277" w:lineRule="auto"/>
        <w:tabs>
          <w:tab w:leader="none" w:pos="1256"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any Shares so purchased from installments unvested as of the date of exercise will be subject to the Company’s “Repurchase Option” described in the Company’s form of Early Exercise Stock Purchase Agreement; and</w:t>
      </w:r>
    </w:p>
    <w:p>
      <w:pPr>
        <w:spacing w:after="0" w:line="170" w:lineRule="exact"/>
        <w:rPr>
          <w:rFonts w:ascii="Arial" w:cs="Arial" w:eastAsia="Arial" w:hAnsi="Arial"/>
          <w:sz w:val="18"/>
          <w:szCs w:val="18"/>
          <w:b w:val="1"/>
          <w:bCs w:val="1"/>
          <w:color w:val="auto"/>
        </w:rPr>
      </w:pPr>
    </w:p>
    <w:p>
      <w:pPr>
        <w:ind w:right="360" w:firstLine="987"/>
        <w:spacing w:after="0" w:line="277" w:lineRule="auto"/>
        <w:tabs>
          <w:tab w:leader="none" w:pos="1236"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you will enter into the Company’s form of Early Exercise Stock Purchase Agreement with a vesting schedule that will result in the same vesting as if no early exercise had occurred.</w:t>
      </w:r>
    </w:p>
    <w:p>
      <w:pPr>
        <w:spacing w:after="0" w:line="166" w:lineRule="exact"/>
        <w:rPr>
          <w:rFonts w:ascii="Arial" w:cs="Arial" w:eastAsia="Arial" w:hAnsi="Arial"/>
          <w:sz w:val="18"/>
          <w:szCs w:val="18"/>
          <w:b w:val="1"/>
          <w:bCs w:val="1"/>
          <w:color w:val="auto"/>
        </w:rPr>
      </w:pPr>
    </w:p>
    <w:p>
      <w:pPr>
        <w:ind w:left="620" w:hanging="184"/>
        <w:spacing w:after="0"/>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80" w:firstLine="987"/>
        <w:spacing w:after="0" w:line="308" w:lineRule="auto"/>
        <w:tabs>
          <w:tab w:leader="none" w:pos="1246"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The Plan sets forth rules for the exercise of your Option. You must pay the full amount of the exercise price for the Shares you wish to exercise, in any manner permitted by Section 1. The applicable form of written notice of exercise is attached as Exhibit B.</w:t>
      </w:r>
    </w:p>
    <w:p>
      <w:pPr>
        <w:spacing w:after="0" w:line="146" w:lineRule="exact"/>
        <w:rPr>
          <w:rFonts w:ascii="Arial" w:cs="Arial" w:eastAsia="Arial" w:hAnsi="Arial"/>
          <w:sz w:val="17"/>
          <w:szCs w:val="17"/>
          <w:b w:val="1"/>
          <w:bCs w:val="1"/>
          <w:color w:val="auto"/>
        </w:rPr>
      </w:pPr>
    </w:p>
    <w:p>
      <w:pPr>
        <w:ind w:firstLine="987"/>
        <w:spacing w:after="0" w:line="269" w:lineRule="auto"/>
        <w:tabs>
          <w:tab w:leader="none" w:pos="1256"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By exercising your Option you agree that: (i) you will not sell, dispose of, transfer, make any short sale of, grant any option for the purchase of, or enter into any hedging or similar transaction with the same economic effect as a sale with respect to any Shares or other securities of the Company held by you, for a period of 180 days following the effective date of a registration statement of the Company filed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or such longer period as the underwriters or the Company will request to facilitate compliance with FINRA Rule 2711 or NYSE Member Rule 472 or any successor or similar rule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however,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until the end of such period. You also agree that any transferee of any Shares (or other securities) of the Company held by you will be bound by this Section 6(b). The underwriters of the Company’s stock are intended third party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274" w:name="page275"/>
    <w:bookmarkEnd w:id="27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beneficiaries of this Section 6(b) and will have the right, power and authority to enforce the provisions hereof as though they were a party hereto; and</w:t>
      </w:r>
    </w:p>
    <w:p>
      <w:pPr>
        <w:spacing w:after="0" w:line="46" w:lineRule="exact"/>
        <w:rPr>
          <w:sz w:val="20"/>
          <w:szCs w:val="20"/>
          <w:color w:val="auto"/>
        </w:rPr>
      </w:pPr>
    </w:p>
    <w:p>
      <w:pPr>
        <w:ind w:left="4" w:right="360" w:hanging="4"/>
        <w:spacing w:after="0" w:line="260" w:lineRule="auto"/>
        <w:tabs>
          <w:tab w:leader="none" w:pos="26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you will comply with Section 2.11 of the Investors’ Rights Agreement, dated as of January 6, 2020, by and among the Company and each of the investors listed on Schedule A thereto.</w:t>
      </w:r>
    </w:p>
    <w:p>
      <w:pPr>
        <w:spacing w:after="0" w:line="181" w:lineRule="exact"/>
        <w:rPr>
          <w:rFonts w:ascii="Arial" w:cs="Arial" w:eastAsia="Arial" w:hAnsi="Arial"/>
          <w:sz w:val="18"/>
          <w:szCs w:val="18"/>
          <w:color w:val="auto"/>
        </w:rPr>
      </w:pPr>
    </w:p>
    <w:p>
      <w:pPr>
        <w:ind w:left="624" w:hanging="184"/>
        <w:spacing w:after="0"/>
        <w:tabs>
          <w:tab w:leader="none" w:pos="624"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w:t>
      </w:r>
    </w:p>
    <w:p>
      <w:pPr>
        <w:spacing w:after="0" w:line="225" w:lineRule="exact"/>
        <w:rPr>
          <w:rFonts w:ascii="Arial" w:cs="Arial" w:eastAsia="Arial" w:hAnsi="Arial"/>
          <w:sz w:val="18"/>
          <w:szCs w:val="18"/>
          <w:b w:val="1"/>
          <w:bCs w:val="1"/>
          <w:color w:val="auto"/>
        </w:rPr>
      </w:pPr>
    </w:p>
    <w:p>
      <w:pPr>
        <w:ind w:left="4" w:right="40" w:firstLine="436"/>
        <w:spacing w:after="0" w:line="281" w:lineRule="auto"/>
        <w:tabs>
          <w:tab w:leader="none" w:pos="624" w:val="left"/>
        </w:tabs>
        <w:numPr>
          <w:ilvl w:val="1"/>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In no event may you exercise your Option unless the Shares issuable upon exercise are then registered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Act or, if not registered, the Company has determined that your exercise and the issuance of the Shares would be exempt from the registration requirements of the Securities Act. The exercise of your Option also must comply with all other Applicable Law, and you may not exercise your Option if the Company determines that such exercise would not be in material compliance with such Applicable Law.</w:t>
      </w:r>
    </w:p>
    <w:p>
      <w:pPr>
        <w:spacing w:after="0" w:line="164" w:lineRule="exact"/>
        <w:rPr>
          <w:rFonts w:ascii="Arial" w:cs="Arial" w:eastAsia="Arial" w:hAnsi="Arial"/>
          <w:sz w:val="17"/>
          <w:szCs w:val="17"/>
          <w:b w:val="1"/>
          <w:bCs w:val="1"/>
          <w:color w:val="auto"/>
        </w:rPr>
      </w:pPr>
    </w:p>
    <w:p>
      <w:pPr>
        <w:ind w:left="624" w:hanging="184"/>
        <w:spacing w:after="0"/>
        <w:tabs>
          <w:tab w:leader="none" w:pos="624"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Grant Date or after your Option expires.</w:t>
      </w:r>
    </w:p>
    <w:p>
      <w:pPr>
        <w:spacing w:after="0" w:line="225" w:lineRule="exact"/>
        <w:rPr>
          <w:rFonts w:ascii="Arial" w:cs="Arial" w:eastAsia="Arial" w:hAnsi="Arial"/>
          <w:sz w:val="18"/>
          <w:szCs w:val="18"/>
          <w:b w:val="1"/>
          <w:bCs w:val="1"/>
          <w:color w:val="auto"/>
        </w:rPr>
      </w:pPr>
    </w:p>
    <w:p>
      <w:pPr>
        <w:ind w:left="704" w:hanging="264"/>
        <w:spacing w:after="0"/>
        <w:tabs>
          <w:tab w:leader="none" w:pos="704" w:val="left"/>
        </w:tabs>
        <w:numPr>
          <w:ilvl w:val="1"/>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the Plan, your Option is not transferable and is exercisable during your life only by you.</w:t>
      </w:r>
    </w:p>
    <w:p>
      <w:pPr>
        <w:spacing w:after="0" w:line="236" w:lineRule="exact"/>
        <w:rPr>
          <w:rFonts w:ascii="Arial" w:cs="Arial" w:eastAsia="Arial" w:hAnsi="Arial"/>
          <w:sz w:val="17"/>
          <w:szCs w:val="17"/>
          <w:b w:val="1"/>
          <w:bCs w:val="1"/>
          <w:color w:val="auto"/>
        </w:rPr>
      </w:pPr>
    </w:p>
    <w:p>
      <w:pPr>
        <w:ind w:left="4" w:firstLine="436"/>
        <w:spacing w:after="0" w:line="281" w:lineRule="auto"/>
        <w:tabs>
          <w:tab w:leader="none" w:pos="704" w:val="left"/>
        </w:tabs>
        <w:numPr>
          <w:ilvl w:val="1"/>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IGHT OF</w:t>
      </w:r>
      <w:r>
        <w:rPr>
          <w:rFonts w:ascii="Arial" w:cs="Arial" w:eastAsia="Arial" w:hAnsi="Arial"/>
          <w:sz w:val="17"/>
          <w:szCs w:val="17"/>
          <w:b w:val="1"/>
          <w:bCs w:val="1"/>
          <w:color w:val="auto"/>
        </w:rPr>
        <w:t xml:space="preserve"> F</w:t>
      </w:r>
      <w:r>
        <w:rPr>
          <w:rFonts w:ascii="Arial" w:cs="Arial" w:eastAsia="Arial" w:hAnsi="Arial"/>
          <w:sz w:val="13"/>
          <w:szCs w:val="13"/>
          <w:b w:val="1"/>
          <w:bCs w:val="1"/>
          <w:color w:val="auto"/>
        </w:rPr>
        <w:t>IRST</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EFUSAL</w:t>
      </w:r>
      <w:r>
        <w:rPr>
          <w:rFonts w:ascii="Arial" w:cs="Arial" w:eastAsia="Arial" w:hAnsi="Arial"/>
          <w:sz w:val="17"/>
          <w:szCs w:val="17"/>
          <w:b w:val="1"/>
          <w:bCs w:val="1"/>
          <w:color w:val="auto"/>
        </w:rPr>
        <w:t xml:space="preserve">. </w:t>
      </w:r>
      <w:r>
        <w:rPr>
          <w:rFonts w:ascii="Arial" w:cs="Arial" w:eastAsia="Arial" w:hAnsi="Arial"/>
          <w:sz w:val="17"/>
          <w:szCs w:val="17"/>
          <w:color w:val="auto"/>
        </w:rPr>
        <w:t>Shares you acquire upon exercise of your Option are subject to any right of first refusal that may be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Company’s bylaws in effect at such time the Company elects to exercise its right;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however, that if there is no right of first refusal described in the Company’s bylaws at such time, the right of first refusal described below will apply. The Company’s right of first refusal will expire on the first date upon which any security of the Company is listed on a national securities exchange or quotation system (the “</w:t>
      </w:r>
      <w:r>
        <w:rPr>
          <w:rFonts w:ascii="Arial" w:cs="Arial" w:eastAsia="Arial" w:hAnsi="Arial"/>
          <w:sz w:val="17"/>
          <w:szCs w:val="17"/>
          <w:b w:val="1"/>
          <w:bCs w:val="1"/>
          <w:i w:val="1"/>
          <w:iCs w:val="1"/>
          <w:color w:val="auto"/>
        </w:rPr>
        <w:t>Listing Date</w:t>
      </w:r>
      <w:r>
        <w:rPr>
          <w:rFonts w:ascii="Arial" w:cs="Arial" w:eastAsia="Arial" w:hAnsi="Arial"/>
          <w:sz w:val="17"/>
          <w:szCs w:val="17"/>
          <w:color w:val="auto"/>
        </w:rPr>
        <w:t>”).</w:t>
      </w:r>
    </w:p>
    <w:p>
      <w:pPr>
        <w:spacing w:after="0" w:line="168" w:lineRule="exact"/>
        <w:rPr>
          <w:rFonts w:ascii="Arial" w:cs="Arial" w:eastAsia="Arial" w:hAnsi="Arial"/>
          <w:sz w:val="17"/>
          <w:szCs w:val="17"/>
          <w:b w:val="1"/>
          <w:bCs w:val="1"/>
          <w:color w:val="auto"/>
        </w:rPr>
      </w:pPr>
    </w:p>
    <w:p>
      <w:pPr>
        <w:ind w:left="4" w:right="260" w:firstLine="987"/>
        <w:spacing w:after="0" w:line="277" w:lineRule="auto"/>
        <w:tabs>
          <w:tab w:leader="none" w:pos="1250" w:val="left"/>
        </w:tabs>
        <w:numPr>
          <w:ilvl w:val="2"/>
          <w:numId w:val="173"/>
        </w:numPr>
        <w:rPr>
          <w:rFonts w:ascii="Arial" w:cs="Arial" w:eastAsia="Arial" w:hAnsi="Arial"/>
          <w:sz w:val="18"/>
          <w:szCs w:val="18"/>
          <w:b w:val="1"/>
          <w:bCs w:val="1"/>
          <w:color w:val="auto"/>
        </w:rPr>
      </w:pPr>
      <w:r>
        <w:rPr>
          <w:rFonts w:ascii="Arial" w:cs="Arial" w:eastAsia="Arial" w:hAnsi="Arial"/>
          <w:sz w:val="18"/>
          <w:szCs w:val="18"/>
          <w:color w:val="auto"/>
        </w:rPr>
        <w:t>Prior to the Listing Date, you may not validly Transfer (as defined below) any Shares acquired upon exercise of your Option, or any interest in such Shares, unless such Transfer is made in compliance with the following provisions:</w:t>
      </w:r>
    </w:p>
    <w:p>
      <w:pPr>
        <w:spacing w:after="0" w:line="170" w:lineRule="exact"/>
        <w:rPr>
          <w:sz w:val="20"/>
          <w:szCs w:val="20"/>
          <w:color w:val="auto"/>
        </w:rPr>
      </w:pPr>
    </w:p>
    <w:p>
      <w:pPr>
        <w:ind w:left="4" w:right="20" w:firstLine="1428"/>
        <w:spacing w:after="0" w:line="269" w:lineRule="auto"/>
        <w:tabs>
          <w:tab w:leader="none" w:pos="1651" w:val="left"/>
        </w:tabs>
        <w:numPr>
          <w:ilvl w:val="0"/>
          <w:numId w:val="174"/>
        </w:numPr>
        <w:rPr>
          <w:rFonts w:ascii="Arial" w:cs="Arial" w:eastAsia="Arial" w:hAnsi="Arial"/>
          <w:sz w:val="17"/>
          <w:szCs w:val="17"/>
          <w:b w:val="1"/>
          <w:bCs w:val="1"/>
          <w:color w:val="auto"/>
        </w:rPr>
      </w:pPr>
      <w:r>
        <w:rPr>
          <w:rFonts w:ascii="Arial" w:cs="Arial" w:eastAsia="Arial" w:hAnsi="Arial"/>
          <w:sz w:val="17"/>
          <w:szCs w:val="17"/>
          <w:color w:val="auto"/>
        </w:rPr>
        <w:t>Before there can be a valid Transfer of any Shares or any interest therein, the record holder of the Shares to be transferred (the “</w:t>
      </w:r>
      <w:r>
        <w:rPr>
          <w:rFonts w:ascii="Arial" w:cs="Arial" w:eastAsia="Arial" w:hAnsi="Arial"/>
          <w:sz w:val="17"/>
          <w:szCs w:val="17"/>
          <w:b w:val="1"/>
          <w:bCs w:val="1"/>
          <w:i w:val="1"/>
          <w:iCs w:val="1"/>
          <w:color w:val="auto"/>
        </w:rPr>
        <w:t>Offered Shares</w:t>
      </w:r>
      <w:r>
        <w:rPr>
          <w:rFonts w:ascii="Arial" w:cs="Arial" w:eastAsia="Arial" w:hAnsi="Arial"/>
          <w:sz w:val="17"/>
          <w:szCs w:val="17"/>
          <w:color w:val="auto"/>
        </w:rPr>
        <w:t>”) will give written notice (by registered or certified mail) to the Company. Such notice will specify the identity of the proposed transferee, the cash price offered for the Offered Shares by the proposed transferee (or, if the proposed Transfer is one in which the holder will not receive cash, such as an involuntary transfer, gift, donation or pledge, the holder will state that no purchase price is being proposed), and the other terms and conditions of the proposed Transfer. The date such notice is mailed will be hereinafter referred to as the “</w:t>
      </w:r>
      <w:r>
        <w:rPr>
          <w:rFonts w:ascii="Arial" w:cs="Arial" w:eastAsia="Arial" w:hAnsi="Arial"/>
          <w:sz w:val="17"/>
          <w:szCs w:val="17"/>
          <w:b w:val="1"/>
          <w:bCs w:val="1"/>
          <w:i w:val="1"/>
          <w:iCs w:val="1"/>
          <w:color w:val="auto"/>
        </w:rPr>
        <w:t>Notice Date</w:t>
      </w:r>
      <w:r>
        <w:rPr>
          <w:rFonts w:ascii="Arial" w:cs="Arial" w:eastAsia="Arial" w:hAnsi="Arial"/>
          <w:sz w:val="17"/>
          <w:szCs w:val="17"/>
          <w:color w:val="auto"/>
        </w:rPr>
        <w:t>” and the record holder of the Offered Shares will be hereinafter referred to as the “</w:t>
      </w:r>
      <w:r>
        <w:rPr>
          <w:rFonts w:ascii="Arial" w:cs="Arial" w:eastAsia="Arial" w:hAnsi="Arial"/>
          <w:sz w:val="17"/>
          <w:szCs w:val="17"/>
          <w:b w:val="1"/>
          <w:bCs w:val="1"/>
          <w:i w:val="1"/>
          <w:iCs w:val="1"/>
          <w:color w:val="auto"/>
        </w:rPr>
        <w:t>Offeror</w:t>
      </w:r>
      <w:r>
        <w:rPr>
          <w:rFonts w:ascii="Arial" w:cs="Arial" w:eastAsia="Arial" w:hAnsi="Arial"/>
          <w:sz w:val="17"/>
          <w:szCs w:val="17"/>
          <w:color w:val="auto"/>
        </w:rPr>
        <w:t>.” If, from time to time, there is any stock dividend, stock split or other change in the character or amount of any of the outstanding Common Stock which is subject to the provisions of your Option, then in such event any and all new, substituted or additional securities to which you are entitled by reason of your ownership of the Shares acquired upon exercise of your Option will be immediately subject to the Company’s Right of First Refusal (as defined below) with the same force and effect as the Shares subject to the Right of First Refusal immediately before such event.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75" w:name="page276"/>
    <w:bookmarkEnd w:id="275"/>
    <w:p>
      <w:pPr>
        <w:ind w:left="-20" w:right="40" w:firstLine="1428"/>
        <w:spacing w:after="0" w:line="272" w:lineRule="auto"/>
        <w:tabs>
          <w:tab w:leader="none" w:pos="1677" w:val="left"/>
        </w:tabs>
        <w:numPr>
          <w:ilvl w:val="1"/>
          <w:numId w:val="17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 period of 30 calendar days after the Notice Date, or such longer period as may be required to avoid the classification of your Option as a liability for financial accounting purposes, the Company will have the option to purchase all (but not less than all) of the Offered Shares at the purchase price and on the terms set forth in Section 11(a)(iii) (the Company’s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 In the event that the proposed Transfer is one involving no payment of a purchase price, the purchase price will be deemed to be the Fair Market Value of the Offered Shares as determined in good faith by the Board in its discretion. The Company may exercise its Right of First Refusal by mailing (by registered or certified mail) written notice of exercise of its Right of First Refusal to the Offeror prior to the end of said 30 days (including any extension required to avoid classification of the Option as a liability for financial accounting purposes).</w:t>
      </w:r>
    </w:p>
    <w:p>
      <w:pPr>
        <w:spacing w:after="0" w:line="177" w:lineRule="exact"/>
        <w:rPr>
          <w:rFonts w:ascii="Arial" w:cs="Arial" w:eastAsia="Arial" w:hAnsi="Arial"/>
          <w:sz w:val="17"/>
          <w:szCs w:val="17"/>
          <w:b w:val="1"/>
          <w:bCs w:val="1"/>
          <w:color w:val="auto"/>
        </w:rPr>
      </w:pPr>
    </w:p>
    <w:p>
      <w:pPr>
        <w:ind w:left="-20" w:right="80" w:firstLine="1428"/>
        <w:spacing w:after="0" w:line="273" w:lineRule="auto"/>
        <w:tabs>
          <w:tab w:leader="none" w:pos="1727" w:val="left"/>
        </w:tabs>
        <w:numPr>
          <w:ilvl w:val="1"/>
          <w:numId w:val="175"/>
        </w:numPr>
        <w:rPr>
          <w:rFonts w:ascii="Arial" w:cs="Arial" w:eastAsia="Arial" w:hAnsi="Arial"/>
          <w:sz w:val="17"/>
          <w:szCs w:val="17"/>
          <w:b w:val="1"/>
          <w:bCs w:val="1"/>
          <w:color w:val="auto"/>
        </w:rPr>
      </w:pPr>
      <w:r>
        <w:rPr>
          <w:rFonts w:ascii="Arial" w:cs="Arial" w:eastAsia="Arial" w:hAnsi="Arial"/>
          <w:sz w:val="17"/>
          <w:szCs w:val="17"/>
          <w:color w:val="auto"/>
        </w:rPr>
        <w:t>The price at which the Company may purchase the Offered Shares pursuant to the exercise of its Right of First Refusal will be the cash price offered for the Offered Shares by the proposed transferee (as set forth in the notice required under Section 11(a)(i)), or the Fair Market Value as determined by the Board in the event no purchase price is involved. To the extent consideration other than cash is offered by the proposed transferee, the Company will not be required to pay any additional amounts to the Offeror other than the cash price offered (or the Fair Market Value, if applicable). The Company’s notice of exercise of its Right of First Refusal will be accompanied by full payment for the Offered Shares and, upon such payment by the Company, the Company will acquire full right, title and interest to all of the Offered Shares.</w:t>
      </w:r>
    </w:p>
    <w:p>
      <w:pPr>
        <w:spacing w:after="0" w:line="177" w:lineRule="exact"/>
        <w:rPr>
          <w:rFonts w:ascii="Arial" w:cs="Arial" w:eastAsia="Arial" w:hAnsi="Arial"/>
          <w:sz w:val="17"/>
          <w:szCs w:val="17"/>
          <w:b w:val="1"/>
          <w:bCs w:val="1"/>
          <w:color w:val="auto"/>
        </w:rPr>
      </w:pPr>
    </w:p>
    <w:p>
      <w:pPr>
        <w:ind w:left="-20" w:firstLine="1428"/>
        <w:spacing w:after="0" w:line="273" w:lineRule="auto"/>
        <w:tabs>
          <w:tab w:leader="none" w:pos="1717" w:val="left"/>
        </w:tabs>
        <w:numPr>
          <w:ilvl w:val="1"/>
          <w:numId w:val="175"/>
        </w:numPr>
        <w:rPr>
          <w:rFonts w:ascii="Arial" w:cs="Arial" w:eastAsia="Arial" w:hAnsi="Arial"/>
          <w:sz w:val="17"/>
          <w:szCs w:val="17"/>
          <w:b w:val="1"/>
          <w:bCs w:val="1"/>
          <w:color w:val="auto"/>
        </w:rPr>
      </w:pPr>
      <w:r>
        <w:rPr>
          <w:rFonts w:ascii="Arial" w:cs="Arial" w:eastAsia="Arial" w:hAnsi="Arial"/>
          <w:sz w:val="17"/>
          <w:szCs w:val="17"/>
          <w:color w:val="auto"/>
        </w:rPr>
        <w:t xml:space="preserve">If, and only if, the option given pursuant to Section 11(a)(ii) is not exercised, the Transfer proposed in the notice given pursuant to Section 11(a)(i) may take place;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however, that such Transfer must, in all respects, be exactly as proposed in said notice except that such Transfer may not take place either before the 10th calendar day after the expiration of the 30 day option exercise period or after the 90th calendar day after the expiration of the 30 day option exercise period, and if such Transfer has not taken place prior to said 90th day, such Transfer may not take place without once again complying with this Section 11(a). The option exercise periods in this Section 11(a)(iv) will be adjusted to include any extension required to avoid the classification of your option as a liability for financial accounting purposes.</w:t>
      </w:r>
    </w:p>
    <w:p>
      <w:pPr>
        <w:spacing w:after="0" w:line="177" w:lineRule="exact"/>
        <w:rPr>
          <w:rFonts w:ascii="Arial" w:cs="Arial" w:eastAsia="Arial" w:hAnsi="Arial"/>
          <w:sz w:val="17"/>
          <w:szCs w:val="17"/>
          <w:b w:val="1"/>
          <w:bCs w:val="1"/>
          <w:color w:val="auto"/>
        </w:rPr>
      </w:pPr>
    </w:p>
    <w:p>
      <w:pPr>
        <w:ind w:left="-20" w:right="80" w:firstLine="987"/>
        <w:spacing w:after="0" w:line="301" w:lineRule="auto"/>
        <w:tabs>
          <w:tab w:leader="none" w:pos="1236"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t>As used in this Section 11, the term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xml:space="preserve">” means any sale, encumbrance, pledge, gift or other form of disposition or transfer of Shares or any legal or equitable interest therein; </w:t>
      </w:r>
      <w:r>
        <w:rPr>
          <w:rFonts w:ascii="Arial" w:cs="Arial" w:eastAsia="Arial" w:hAnsi="Arial"/>
          <w:sz w:val="16"/>
          <w:szCs w:val="16"/>
          <w:b w:val="1"/>
          <w:bCs w:val="1"/>
          <w:i w:val="1"/>
          <w:iCs w:val="1"/>
          <w:color w:val="auto"/>
        </w:rPr>
        <w:t>provided</w:t>
      </w:r>
      <w:r>
        <w:rPr>
          <w:rFonts w:ascii="Arial" w:cs="Arial" w:eastAsia="Arial" w:hAnsi="Arial"/>
          <w:sz w:val="16"/>
          <w:szCs w:val="16"/>
          <w:color w:val="auto"/>
        </w:rPr>
        <w:t>, however, that the term Transfer does not include a transfer of such Shares or interests by will or intestacy to your Immediate Family. In such case, the transferee or other recipient will receive and hold the Shares so transferred subject to the provisions of this Section, and there will be no further transfer of such Shares except in accordance with the terms of this Section 11.</w:t>
      </w:r>
    </w:p>
    <w:p>
      <w:pPr>
        <w:spacing w:after="0" w:line="157" w:lineRule="exact"/>
        <w:rPr>
          <w:rFonts w:ascii="Arial" w:cs="Arial" w:eastAsia="Arial" w:hAnsi="Arial"/>
          <w:sz w:val="16"/>
          <w:szCs w:val="16"/>
          <w:b w:val="1"/>
          <w:bCs w:val="1"/>
          <w:color w:val="auto"/>
        </w:rPr>
      </w:pPr>
    </w:p>
    <w:p>
      <w:pPr>
        <w:ind w:left="-20" w:right="20" w:firstLine="987"/>
        <w:spacing w:after="0" w:line="259" w:lineRule="auto"/>
        <w:tabs>
          <w:tab w:leader="none" w:pos="1216"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No Shares purchased on exercise of your Option will be transferred on the Company’s books nor will the Company recognize any such Transfer of any such Shares or any interest therein unless and until all applicable provisions of this Section 11 have been complied with in all respects. The certificates of stock evidencing Shares purchased on exercise of your Option will bear an appropriate legend referring to the transfer restrictions imposed by this Section 11.</w:t>
      </w:r>
    </w:p>
    <w:p>
      <w:pPr>
        <w:spacing w:after="0" w:line="186" w:lineRule="exact"/>
        <w:rPr>
          <w:rFonts w:ascii="Arial" w:cs="Arial" w:eastAsia="Arial" w:hAnsi="Arial"/>
          <w:sz w:val="18"/>
          <w:szCs w:val="18"/>
          <w:b w:val="1"/>
          <w:bCs w:val="1"/>
          <w:color w:val="auto"/>
        </w:rPr>
      </w:pPr>
    </w:p>
    <w:p>
      <w:pPr>
        <w:jc w:val="both"/>
        <w:ind w:left="-20" w:right="560" w:firstLine="987"/>
        <w:spacing w:after="0" w:line="342" w:lineRule="auto"/>
        <w:tabs>
          <w:tab w:leader="none" w:pos="1236"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t>To ensure that the Shares subject to the Company’s Right of First Refusal will be available for repurchase by the Company, the Company may require you to deposit the certificates evidencing the Shares that you purchase upon exercise of your Option with an escrow agent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60" w:top="274" w:right="479" w:bottom="1440" w:gutter="0" w:footer="0" w:header="0"/>
        </w:sectPr>
      </w:pPr>
    </w:p>
    <w:bookmarkStart w:id="276" w:name="page277"/>
    <w:bookmarkEnd w:id="276"/>
    <w:p>
      <w:pPr>
        <w:ind w:left="4"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by the Company under the terms and conditions of an escrow agreement approved by the Company. If the Company does not require such deposit as a condition of exercise of your Option, the Company reserves the right at any time to require you to so deposit the certificates in escrow. As soon as practicable after the expiration of the Company’s Right of First Refusal, the agent will deliver to you the Shares and any other property no longer subject to such restriction. In the event the Shares and any other property held in escrow are subject to the Company’s exercise of its Right of First Refusal, the notices required to be given to you will be given to the escrow agent, and any payment required to be given to you will be given to the escrow agent. Within 30 days after payment by the Company for the Offered Shares, the escrow agent will deliver the Offered Shares that the Company has repurchased to the Company and will deliver the payment received from the Company to you.</w:t>
      </w:r>
    </w:p>
    <w:p>
      <w:pPr>
        <w:spacing w:after="0" w:line="173" w:lineRule="exact"/>
        <w:rPr>
          <w:sz w:val="20"/>
          <w:szCs w:val="20"/>
          <w:color w:val="auto"/>
        </w:rPr>
      </w:pPr>
    </w:p>
    <w:p>
      <w:pPr>
        <w:ind w:left="4" w:right="180" w:firstLine="436"/>
        <w:spacing w:after="0" w:line="347" w:lineRule="auto"/>
        <w:tabs>
          <w:tab w:leader="none" w:pos="714" w:val="left"/>
        </w:tabs>
        <w:numPr>
          <w:ilvl w:val="1"/>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IGHT OF</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the Plan or the Company’s bylaws in effect at such time the Company elects to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its right, the Company will have the right to repurchase all or any part of the Shares you acquire pursuant to the exercise of your Option.</w:t>
      </w:r>
    </w:p>
    <w:p>
      <w:pPr>
        <w:spacing w:after="0" w:line="115" w:lineRule="exact"/>
        <w:rPr>
          <w:rFonts w:ascii="Arial" w:cs="Arial" w:eastAsia="Arial" w:hAnsi="Arial"/>
          <w:sz w:val="16"/>
          <w:szCs w:val="16"/>
          <w:b w:val="1"/>
          <w:bCs w:val="1"/>
          <w:color w:val="auto"/>
        </w:rPr>
      </w:pPr>
    </w:p>
    <w:p>
      <w:pPr>
        <w:ind w:left="4" w:right="220" w:firstLine="436"/>
        <w:spacing w:after="0" w:line="289" w:lineRule="auto"/>
        <w:tabs>
          <w:tab w:leader="none" w:pos="714" w:val="left"/>
        </w:tabs>
        <w:numPr>
          <w:ilvl w:val="1"/>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OT A</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 OF</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By executing this Option Agreement you acknowledge and agree that (i) nothing in this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Plan confers on you any right to continue an employment, service or consulting relationship with the Company, nor shall it affect in any way your right or the Company’s right to terminate your employment, service, or consulting relationship at any time, with or without Cause; and</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would not have granted this Option to you but for these acknowledgements and agreements.</w:t>
      </w:r>
    </w:p>
    <w:p>
      <w:pPr>
        <w:spacing w:after="0" w:line="206" w:lineRule="exact"/>
        <w:rPr>
          <w:rFonts w:ascii="Arial" w:cs="Arial" w:eastAsia="Arial" w:hAnsi="Arial"/>
          <w:sz w:val="18"/>
          <w:szCs w:val="18"/>
          <w:color w:val="auto"/>
        </w:rPr>
      </w:pPr>
    </w:p>
    <w:p>
      <w:pPr>
        <w:ind w:left="704" w:hanging="264"/>
        <w:spacing w:after="0"/>
        <w:tabs>
          <w:tab w:leader="none" w:pos="704" w:val="left"/>
        </w:tabs>
        <w:numPr>
          <w:ilvl w:val="1"/>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right="40" w:firstLine="987"/>
        <w:spacing w:after="0" w:line="257" w:lineRule="auto"/>
        <w:tabs>
          <w:tab w:leader="none" w:pos="1250" w:val="left"/>
        </w:tabs>
        <w:numPr>
          <w:ilvl w:val="2"/>
          <w:numId w:val="178"/>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Withholding Tax obligations of the Company or an Affiliate, if any, which arise in connection with the exercise of your Option.</w:t>
      </w:r>
    </w:p>
    <w:p>
      <w:pPr>
        <w:spacing w:after="0" w:line="187" w:lineRule="exact"/>
        <w:rPr>
          <w:rFonts w:ascii="Arial" w:cs="Arial" w:eastAsia="Arial" w:hAnsi="Arial"/>
          <w:sz w:val="18"/>
          <w:szCs w:val="18"/>
          <w:b w:val="1"/>
          <w:bCs w:val="1"/>
          <w:color w:val="auto"/>
        </w:rPr>
      </w:pPr>
    </w:p>
    <w:p>
      <w:pPr>
        <w:ind w:left="4" w:firstLine="987"/>
        <w:spacing w:after="0" w:line="288" w:lineRule="auto"/>
        <w:tabs>
          <w:tab w:leader="none" w:pos="1260" w:val="left"/>
        </w:tabs>
        <w:numPr>
          <w:ilvl w:val="2"/>
          <w:numId w:val="178"/>
        </w:numPr>
        <w:rPr>
          <w:rFonts w:ascii="Arial" w:cs="Arial" w:eastAsia="Arial" w:hAnsi="Arial"/>
          <w:sz w:val="16"/>
          <w:szCs w:val="16"/>
          <w:b w:val="1"/>
          <w:bCs w:val="1"/>
          <w:color w:val="auto"/>
        </w:rPr>
      </w:pPr>
      <w:r>
        <w:rPr>
          <w:rFonts w:ascii="Arial" w:cs="Arial" w:eastAsia="Arial" w:hAnsi="Arial"/>
          <w:sz w:val="16"/>
          <w:szCs w:val="16"/>
          <w:color w:val="auto"/>
        </w:rPr>
        <w:t>If this Option is a Non-ISO, then upon your request and subject to approval by the Company, and compliance with any Applicable Law, the Company may withhold from fully vested Shares otherwise issuable to you upon the exercise of your Option a number of whole Shares having a Fair Market Value, determined by the Company as of the date of exercise, not in excess of the minimum amount of tax required to be withheld by Applicable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acquired upon such exercise with respect to which such determination is otherwise deferred, to accelerate the determination of such Withholding Tax obligation to the date of exercise of your Option. Notwithstanding the filing of such election, Shares shall be withheld solely from fully vested Shares determined as of the date of exercise of your Option that are otherwise issuable to you upon such exercise. Any adverse consequences to you arising in connection with such Share withholding procedure shall be your sole responsibility.</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277" w:name="page278"/>
    <w:bookmarkEnd w:id="277"/>
    <w:p>
      <w:pPr>
        <w:ind w:left="-60" w:firstLine="987"/>
        <w:spacing w:after="0" w:line="311" w:lineRule="auto"/>
        <w:tabs>
          <w:tab w:leader="none" w:pos="1176" w:val="left"/>
        </w:tabs>
        <w:numPr>
          <w:ilvl w:val="1"/>
          <w:numId w:val="17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may not exercise your Option unless the Withholding Tax obligations of the Company and/or any Affiliate are satisfied. Accordingly, you may not be able to exercise your Option when desired even though your Option is vested, and the Company will have no obligation to issue a certificate for such Shares or release such Shares from any escrow provided for herein, if applicable, unless such obligations are satisfied.</w:t>
      </w:r>
    </w:p>
    <w:p>
      <w:pPr>
        <w:spacing w:after="0" w:line="144" w:lineRule="exact"/>
        <w:rPr>
          <w:rFonts w:ascii="Arial" w:cs="Arial" w:eastAsia="Arial" w:hAnsi="Arial"/>
          <w:sz w:val="16"/>
          <w:szCs w:val="16"/>
          <w:b w:val="1"/>
          <w:bCs w:val="1"/>
          <w:color w:val="auto"/>
        </w:rPr>
      </w:pPr>
    </w:p>
    <w:p>
      <w:pPr>
        <w:ind w:left="-60" w:firstLine="436"/>
        <w:spacing w:after="0" w:line="270" w:lineRule="auto"/>
        <w:tabs>
          <w:tab w:leader="none" w:pos="65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on the Grant Date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76" w:lineRule="exact"/>
        <w:rPr>
          <w:rFonts w:ascii="Arial" w:cs="Arial" w:eastAsia="Arial" w:hAnsi="Arial"/>
          <w:sz w:val="17"/>
          <w:szCs w:val="17"/>
          <w:b w:val="1"/>
          <w:bCs w:val="1"/>
          <w:color w:val="auto"/>
        </w:rPr>
      </w:pPr>
    </w:p>
    <w:p>
      <w:pPr>
        <w:ind w:left="640" w:hanging="264"/>
        <w:spacing w:after="0"/>
        <w:tabs>
          <w:tab w:leader="none" w:pos="6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0" w:firstLine="987"/>
        <w:spacing w:after="0" w:line="272" w:lineRule="auto"/>
        <w:tabs>
          <w:tab w:leader="none" w:pos="1186" w:val="left"/>
        </w:tabs>
        <w:numPr>
          <w:ilvl w:val="1"/>
          <w:numId w:val="180"/>
        </w:numPr>
        <w:rPr>
          <w:rFonts w:ascii="Arial" w:cs="Arial" w:eastAsia="Arial" w:hAnsi="Arial"/>
          <w:sz w:val="17"/>
          <w:szCs w:val="17"/>
          <w:b w:val="1"/>
          <w:bCs w:val="1"/>
          <w:color w:val="auto"/>
        </w:rPr>
      </w:pPr>
      <w:r>
        <w:rPr>
          <w:rFonts w:ascii="Arial" w:cs="Arial" w:eastAsia="Arial" w:hAnsi="Arial"/>
          <w:sz w:val="17"/>
          <w:szCs w:val="17"/>
          <w:color w:val="auto"/>
        </w:rPr>
        <w:t>All notices required or permitted under your Option or the Plan shall be in writing (including electronically) and shall be deemed effectively given: (i) upon personal delivery to the party to be notified, (ii) when sent by confirmed facsimile if sent during normal business hours of the recipient, and if not during normal business hours of the recipient, then on the next business day, (iii) five calendar days after having been sent by registered or certified mail, return receipt requested, postage prepaid, or (iv) one business day after deposit with a nationally recognized overnight courier, specifying next day delivery, with written verification of receipt. All communications shall be sent to the other party hereto at such party’s address hereinafter set forth on the signature page hereof, addressed to you at the last address you provided to the Company, or at such other address as such party may designate by ten days advance written notice to the other party hereto.</w:t>
      </w:r>
    </w:p>
    <w:p>
      <w:pPr>
        <w:spacing w:after="0" w:line="177" w:lineRule="exact"/>
        <w:rPr>
          <w:rFonts w:ascii="Arial" w:cs="Arial" w:eastAsia="Arial" w:hAnsi="Arial"/>
          <w:sz w:val="17"/>
          <w:szCs w:val="17"/>
          <w:b w:val="1"/>
          <w:bCs w:val="1"/>
          <w:color w:val="auto"/>
        </w:rPr>
      </w:pPr>
    </w:p>
    <w:p>
      <w:pPr>
        <w:ind w:left="-60" w:right="160" w:firstLine="987"/>
        <w:spacing w:after="0" w:line="257" w:lineRule="auto"/>
        <w:tabs>
          <w:tab w:leader="none" w:pos="1196" w:val="left"/>
        </w:tabs>
        <w:numPr>
          <w:ilvl w:val="1"/>
          <w:numId w:val="180"/>
        </w:numPr>
        <w:rPr>
          <w:rFonts w:ascii="Arial" w:cs="Arial" w:eastAsia="Arial" w:hAnsi="Arial"/>
          <w:sz w:val="18"/>
          <w:szCs w:val="18"/>
          <w:b w:val="1"/>
          <w:bCs w:val="1"/>
          <w:color w:val="auto"/>
        </w:rPr>
      </w:pPr>
      <w:r>
        <w:rPr>
          <w:rFonts w:ascii="Arial" w:cs="Arial" w:eastAsia="Arial" w:hAnsi="Arial"/>
          <w:sz w:val="18"/>
          <w:szCs w:val="18"/>
          <w:color w:val="auto"/>
        </w:rPr>
        <w:t>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 though you may opt out of such electronic delivery and electronic system by notifying the Chief Executive Officer of the Company.</w:t>
      </w:r>
    </w:p>
    <w:p>
      <w:pPr>
        <w:spacing w:after="0" w:line="183" w:lineRule="exact"/>
        <w:rPr>
          <w:rFonts w:ascii="Arial" w:cs="Arial" w:eastAsia="Arial" w:hAnsi="Arial"/>
          <w:sz w:val="18"/>
          <w:szCs w:val="18"/>
          <w:b w:val="1"/>
          <w:bCs w:val="1"/>
          <w:color w:val="auto"/>
        </w:rPr>
      </w:pPr>
    </w:p>
    <w:p>
      <w:pPr>
        <w:jc w:val="both"/>
        <w:ind w:left="-60" w:right="220" w:firstLine="436"/>
        <w:spacing w:after="0" w:line="303" w:lineRule="auto"/>
        <w:tabs>
          <w:tab w:leader="none" w:pos="65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AIVER OF</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TATUTORY</w:t>
      </w:r>
      <w:r>
        <w:rPr>
          <w:rFonts w:ascii="Arial" w:cs="Arial" w:eastAsia="Arial" w:hAnsi="Arial"/>
          <w:sz w:val="16"/>
          <w:szCs w:val="16"/>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6"/>
          <w:szCs w:val="16"/>
          <w:color w:val="auto"/>
        </w:rPr>
        <w:t>. You understand and agree that, but for the waiver made herein, you would be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0"/>
          </w:cols>
          <w:pgMar w:left="500" w:top="274" w:right="519" w:bottom="1440" w:gutter="0" w:footer="0" w:header="0"/>
        </w:sectPr>
      </w:pPr>
    </w:p>
    <w:bookmarkStart w:id="278" w:name="page279"/>
    <w:bookmarkEnd w:id="278"/>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rights of the Optionee as may be provided for in Section 220,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In light of the foregoing, until the date of an initial public offering, you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that you may have under any other written agreement between you and the Company.</w:t>
      </w:r>
    </w:p>
    <w:p>
      <w:pPr>
        <w:spacing w:after="0" w:line="160" w:lineRule="exact"/>
        <w:rPr>
          <w:sz w:val="20"/>
          <w:szCs w:val="20"/>
          <w:color w:val="auto"/>
        </w:rPr>
      </w:pPr>
    </w:p>
    <w:p>
      <w:pPr>
        <w:jc w:val="both"/>
        <w:ind w:firstLine="436"/>
        <w:spacing w:after="0" w:line="266" w:lineRule="auto"/>
        <w:tabs>
          <w:tab w:leader="none" w:pos="71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Plan provisions, the provisions of which are hereby made a part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is further subject to all interpretations, amendments, rules and regulations, which may from time to time be promulgated and adopted pursuant to the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79" w:name="page280"/>
    <w:bookmarkEnd w:id="27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YOUR SIGNATURE BELOW, along with the signature of the Company’s representative, you and the Company agree that this Option is made under and governed by the terms and conditions of this Option Agreement and the Plan.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TYRA BIOSCIENCES,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Todd Harris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 and Chief Executive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OPTIONHOLDER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14605</wp:posOffset>
            </wp:positionV>
            <wp:extent cx="22459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9700" w:val="left"/>
        </w:tabs>
        <w:rPr>
          <w:sz w:val="20"/>
          <w:szCs w:val="20"/>
          <w:color w:val="auto"/>
        </w:rPr>
      </w:pPr>
      <w:r>
        <w:rPr>
          <w:rFonts w:ascii="Arial" w:cs="Arial" w:eastAsia="Arial" w:hAnsi="Arial"/>
          <w:sz w:val="18"/>
          <w:szCs w:val="18"/>
          <w:color w:val="auto"/>
        </w:rPr>
        <w:t>Printed Name of Optionholder:</w:t>
      </w:r>
      <w:r>
        <w:rPr>
          <w:sz w:val="20"/>
          <w:szCs w:val="20"/>
          <w:color w:val="auto"/>
        </w:rPr>
        <w:tab/>
      </w:r>
      <w:r>
        <w:rPr>
          <w:rFonts w:ascii="Arial" w:cs="Arial" w:eastAsia="Arial" w:hAnsi="Arial"/>
          <w:sz w:val="16"/>
          <w:szCs w:val="16"/>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14605</wp:posOffset>
            </wp:positionV>
            <wp:extent cx="24942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ectPr>
          <w:pgSz w:w="11900" w:h="16838" w:orient="portrait"/>
          <w:cols w:equalWidth="0" w:num="1">
            <w:col w:w="10600"/>
          </w:cols>
          <w:pgMar w:left="440" w:top="274" w:right="859"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Tyra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74295</wp:posOffset>
            </wp:positionV>
            <wp:extent cx="1474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Tyra Biosciences,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2333 State St.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 92008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6421120</wp:posOffset>
            </wp:positionH>
            <wp:positionV relativeFrom="paragraph">
              <wp:posOffset>-10160</wp:posOffset>
            </wp:positionV>
            <wp:extent cx="571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This letter is intended to inform you of my election pursuant to that certain Stock Option Agreement between me and Tyra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 purchase pursuant to my Option (as defined in the Stock Option Agreement) that number of shares of the Company’s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indicated below:</w:t>
      </w:r>
    </w:p>
    <w:p>
      <w:pPr>
        <w:spacing w:after="0" w:line="178" w:lineRule="exact"/>
        <w:rPr>
          <w:sz w:val="20"/>
          <w:szCs w:val="20"/>
          <w:color w:val="auto"/>
        </w:rPr>
      </w:pPr>
    </w:p>
    <w:tbl>
      <w:tblPr>
        <w:tblLayout w:type="fixed"/>
        <w:tblInd w:w="1320" w:type="dxa"/>
        <w:tblCellMar>
          <w:top w:w="0" w:type="dxa"/>
          <w:left w:w="0" w:type="dxa"/>
          <w:bottom w:w="0" w:type="dxa"/>
          <w:right w:w="0" w:type="dxa"/>
        </w:tblCellMar>
      </w:tblPr>
      <w:tr>
        <w:trPr>
          <w:trHeight w:val="283"/>
        </w:trPr>
        <w:tc>
          <w:tcPr>
            <w:tcW w:w="5160" w:type="dxa"/>
            <w:vAlign w:val="bottom"/>
          </w:tcPr>
          <w:p>
            <w:pPr>
              <w:spacing w:after="0"/>
              <w:rPr>
                <w:sz w:val="20"/>
                <w:szCs w:val="20"/>
                <w:color w:val="auto"/>
              </w:rPr>
            </w:pPr>
            <w:r>
              <w:rPr>
                <w:rFonts w:ascii="Arial" w:cs="Arial" w:eastAsia="Arial" w:hAnsi="Arial"/>
                <w:sz w:val="18"/>
                <w:szCs w:val="18"/>
                <w:color w:val="auto"/>
              </w:rPr>
              <w:t>Type of option (check one):</w:t>
            </w:r>
          </w:p>
        </w:tc>
        <w:tc>
          <w:tcPr>
            <w:tcW w:w="13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860" w:type="dxa"/>
            <w:vAlign w:val="bottom"/>
          </w:tcPr>
          <w:p>
            <w:pPr>
              <w:ind w:left="660"/>
              <w:spacing w:after="0" w:line="207" w:lineRule="exact"/>
              <w:rPr>
                <w:sz w:val="20"/>
                <w:szCs w:val="20"/>
                <w:color w:val="auto"/>
              </w:rPr>
            </w:pPr>
            <w:r>
              <w:rPr>
                <w:rFonts w:ascii="Arial" w:cs="Arial" w:eastAsia="Arial" w:hAnsi="Arial"/>
                <w:sz w:val="18"/>
                <w:szCs w:val="18"/>
                <w:color w:val="auto"/>
                <w:w w:val="94"/>
              </w:rPr>
              <w:t xml:space="preserve">Nonstatutory </w:t>
            </w:r>
            <w:r>
              <w:rPr>
                <w:rFonts w:ascii="MS PGothic" w:cs="MS PGothic" w:eastAsia="MS PGothic" w:hAnsi="MS PGothic"/>
                <w:sz w:val="18"/>
                <w:szCs w:val="18"/>
                <w:color w:val="auto"/>
                <w:w w:val="94"/>
              </w:rPr>
              <w:t>☐</w:t>
            </w:r>
          </w:p>
        </w:tc>
      </w:tr>
      <w:tr>
        <w:trPr>
          <w:trHeight w:val="263"/>
        </w:trPr>
        <w:tc>
          <w:tcPr>
            <w:tcW w:w="5160" w:type="dxa"/>
            <w:vAlign w:val="bottom"/>
          </w:tcPr>
          <w:p>
            <w:pPr>
              <w:spacing w:after="0"/>
              <w:rPr>
                <w:sz w:val="20"/>
                <w:szCs w:val="20"/>
                <w:color w:val="auto"/>
              </w:rPr>
            </w:pPr>
            <w:r>
              <w:rPr>
                <w:rFonts w:ascii="Arial" w:cs="Arial" w:eastAsia="Arial" w:hAnsi="Arial"/>
                <w:sz w:val="18"/>
                <w:szCs w:val="18"/>
                <w:color w:val="auto"/>
              </w:rPr>
              <w:t>Number of shares as to which Option is exercised:</w:t>
            </w:r>
          </w:p>
        </w:tc>
        <w:tc>
          <w:tcPr>
            <w:tcW w:w="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860" w:type="dxa"/>
            <w:vAlign w:val="bottom"/>
          </w:tcPr>
          <w:p>
            <w:pPr>
              <w:spacing w:after="0"/>
              <w:rPr>
                <w:sz w:val="22"/>
                <w:szCs w:val="22"/>
                <w:color w:val="auto"/>
              </w:rPr>
            </w:pPr>
          </w:p>
        </w:tc>
      </w:tr>
      <w:tr>
        <w:trPr>
          <w:trHeight w:val="304"/>
        </w:trPr>
        <w:tc>
          <w:tcPr>
            <w:tcW w:w="5160" w:type="dxa"/>
            <w:vAlign w:val="bottom"/>
          </w:tcPr>
          <w:p>
            <w:pPr>
              <w:spacing w:after="0"/>
              <w:rPr>
                <w:sz w:val="20"/>
                <w:szCs w:val="20"/>
                <w:color w:val="auto"/>
              </w:rPr>
            </w:pPr>
            <w:r>
              <w:rPr>
                <w:rFonts w:ascii="Arial" w:cs="Arial" w:eastAsia="Arial" w:hAnsi="Arial"/>
                <w:sz w:val="18"/>
                <w:szCs w:val="18"/>
                <w:color w:val="auto"/>
              </w:rPr>
              <w:t>Total exercise price: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r>
      <w:tr>
        <w:trPr>
          <w:trHeight w:val="304"/>
        </w:trPr>
        <w:tc>
          <w:tcPr>
            <w:tcW w:w="5160" w:type="dxa"/>
            <w:vAlign w:val="bottom"/>
          </w:tcPr>
          <w:p>
            <w:pPr>
              <w:spacing w:after="0"/>
              <w:rPr>
                <w:sz w:val="20"/>
                <w:szCs w:val="20"/>
                <w:color w:val="auto"/>
              </w:rPr>
            </w:pPr>
            <w:r>
              <w:rPr>
                <w:rFonts w:ascii="Arial" w:cs="Arial" w:eastAsia="Arial" w:hAnsi="Arial"/>
                <w:sz w:val="18"/>
                <w:szCs w:val="18"/>
                <w:color w:val="auto"/>
              </w:rPr>
              <w:t>Cash payment delivered herewith:</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r>
    </w:tbl>
    <w:p>
      <w:pPr>
        <w:spacing w:after="0" w:line="229"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 xml:space="preserve">I hereby make the following certifications and representations with respect to the number of shares of Common Stock of the Company listed above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which are being acquired by me for my own account upon exercise of the Option as set forth above:</w:t>
      </w:r>
    </w:p>
    <w:p>
      <w:pPr>
        <w:spacing w:after="0" w:line="146"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the Shares, except as permitted under the Securities Act and any applicable state securities laws.</w:t>
      </w:r>
    </w:p>
    <w:p>
      <w:pPr>
        <w:spacing w:after="0" w:line="149"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Certificate of Incorporation, bylaws and/or applicable securities laws.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i w:val="1"/>
          <w:iCs w:val="1"/>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9"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This Amended and Restated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this 6th day of January,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Tyra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Todd Harris (“</w:t>
      </w:r>
      <w:r>
        <w:rPr>
          <w:rFonts w:ascii="Arial" w:cs="Arial" w:eastAsia="Arial" w:hAnsi="Arial"/>
          <w:sz w:val="17"/>
          <w:szCs w:val="17"/>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Capitalized terms used herein and not otherwise defined shall have those meanings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 xml:space="preserve"> hereto.</w:t>
      </w:r>
    </w:p>
    <w:p>
      <w:pPr>
        <w:spacing w:after="0" w:line="161" w:lineRule="exact"/>
        <w:rPr>
          <w:sz w:val="20"/>
          <w:szCs w:val="20"/>
          <w:color w:val="auto"/>
        </w:rPr>
      </w:pPr>
    </w:p>
    <w:p>
      <w:pPr>
        <w:ind w:right="88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Executive are parties to that certain Employment Agreement dated as of November 5, 2018 (the “</w:t>
      </w:r>
      <w:r>
        <w:rPr>
          <w:rFonts w:ascii="Arial" w:cs="Arial" w:eastAsia="Arial" w:hAnsi="Arial"/>
          <w:sz w:val="18"/>
          <w:szCs w:val="18"/>
          <w:u w:val="single" w:color="auto"/>
          <w:color w:val="auto"/>
        </w:rPr>
        <w:t>Prior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Executive desire to amend the terms of the Employee’s employment with the Company as reflected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amending and restating the Prior Agreement.</w:t>
      </w:r>
    </w:p>
    <w:p>
      <w:pPr>
        <w:spacing w:after="0" w:line="162"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32" w:lineRule="exact"/>
        <w:rPr>
          <w:sz w:val="20"/>
          <w:szCs w:val="20"/>
          <w:color w:val="auto"/>
        </w:rPr>
      </w:pPr>
    </w:p>
    <w:p>
      <w:pPr>
        <w:ind w:left="620" w:hanging="184"/>
        <w:spacing w:after="0"/>
        <w:tabs>
          <w:tab w:leader="none" w:pos="62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182"/>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employ Executive upon the terms and conditions provided herein effective as of the Effective Date.</w:t>
      </w:r>
    </w:p>
    <w:p>
      <w:pPr>
        <w:spacing w:after="0" w:line="128" w:lineRule="exact"/>
        <w:rPr>
          <w:rFonts w:ascii="Arial" w:cs="Arial" w:eastAsia="Arial" w:hAnsi="Arial"/>
          <w:sz w:val="17"/>
          <w:szCs w:val="17"/>
          <w:b w:val="1"/>
          <w:bCs w:val="1"/>
          <w:color w:val="auto"/>
        </w:rPr>
      </w:pPr>
    </w:p>
    <w:p>
      <w:pPr>
        <w:ind w:right="20" w:firstLine="987"/>
        <w:spacing w:after="0" w:line="255" w:lineRule="auto"/>
        <w:tabs>
          <w:tab w:leader="none" w:pos="1256" w:val="left"/>
        </w:tabs>
        <w:numPr>
          <w:ilvl w:val="1"/>
          <w:numId w:val="182"/>
        </w:numPr>
        <w:rPr>
          <w:rFonts w:ascii="Arial" w:cs="Arial" w:eastAsia="Arial" w:hAnsi="Arial"/>
          <w:sz w:val="18"/>
          <w:szCs w:val="18"/>
          <w:b w:val="1"/>
          <w:bCs w:val="1"/>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on the Effective Date, Executive shall serve as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and President, with responsibilities, duties, and authority usual and customary for such positions. During Executive’s employment with the Company, Executive shall report directly to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84" w:lineRule="exact"/>
        <w:rPr>
          <w:rFonts w:ascii="Arial" w:cs="Arial" w:eastAsia="Arial" w:hAnsi="Arial"/>
          <w:sz w:val="18"/>
          <w:szCs w:val="18"/>
          <w:b w:val="1"/>
          <w:bCs w:val="1"/>
          <w:color w:val="auto"/>
        </w:rPr>
      </w:pPr>
    </w:p>
    <w:p>
      <w:pPr>
        <w:ind w:right="60" w:firstLine="987"/>
        <w:spacing w:after="0" w:line="291" w:lineRule="auto"/>
        <w:tabs>
          <w:tab w:leader="none" w:pos="1236" w:val="left"/>
        </w:tabs>
        <w:numPr>
          <w:ilvl w:val="1"/>
          <w:numId w:val="182"/>
        </w:numPr>
        <w:rPr>
          <w:rFonts w:ascii="Arial" w:cs="Arial" w:eastAsia="Arial" w:hAnsi="Arial"/>
          <w:sz w:val="16"/>
          <w:szCs w:val="16"/>
          <w:b w:val="1"/>
          <w:bCs w:val="1"/>
          <w:color w:val="auto"/>
        </w:rPr>
      </w:pPr>
      <w:r>
        <w:rPr>
          <w:rFonts w:ascii="Arial" w:cs="Arial" w:eastAsia="Arial" w:hAnsi="Arial"/>
          <w:sz w:val="16"/>
          <w:szCs w:val="16"/>
          <w:u w:val="single" w:color="auto"/>
          <w:color w:val="auto"/>
        </w:rPr>
        <w:t>Performance of Executive’s Duties</w:t>
      </w:r>
      <w:r>
        <w:rPr>
          <w:rFonts w:ascii="Arial" w:cs="Arial" w:eastAsia="Arial" w:hAnsi="Arial"/>
          <w:sz w:val="16"/>
          <w:szCs w:val="16"/>
          <w:color w:val="auto"/>
        </w:rPr>
        <w:t>. During Executive’s employment with the Company, and except for periods of illness, vacation, Disability, or excused leaves of absence, Executive shall devote Executive’s full time and attention to the business and affairs of the Company; provided that nothing herein shall preclude Executive from, subject to prior consent of the Board: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 do not individually or in the aggregate interfere with the performance of Executive’s duties under this Agreement, violate the Company’s standards of conduct then in effect or raise a conflict under the Company’s conflict of interest policies.</w:t>
      </w:r>
    </w:p>
    <w:p>
      <w:pPr>
        <w:sectPr>
          <w:pgSz w:w="11900" w:h="16838" w:orient="portrait"/>
          <w:cols w:equalWidth="0" w:num="1">
            <w:col w:w="11020"/>
          </w:cols>
          <w:pgMar w:left="440" w:top="125" w:right="439" w:bottom="1440" w:gutter="0" w:footer="0" w:header="0"/>
        </w:sectPr>
      </w:pPr>
    </w:p>
    <w:bookmarkStart w:id="283" w:name="page284"/>
    <w:bookmarkEnd w:id="283"/>
    <w:p>
      <w:pPr>
        <w:ind w:left="-60" w:right="20" w:firstLine="436"/>
        <w:spacing w:after="0" w:line="266" w:lineRule="auto"/>
        <w:tabs>
          <w:tab w:leader="none" w:pos="5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r>
        <w:rPr>
          <w:rFonts w:ascii="Arial" w:cs="Arial" w:eastAsia="Arial" w:hAnsi="Arial"/>
          <w:sz w:val="18"/>
          <w:szCs w:val="18"/>
          <w:color w:val="auto"/>
        </w:rPr>
        <w:t>. The period of Executive’s employment under this Agreement shall commence on the Effective Date and shall continue until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The phrase “</w:t>
      </w:r>
      <w:r>
        <w:rPr>
          <w:rFonts w:ascii="Arial" w:cs="Arial" w:eastAsia="Arial" w:hAnsi="Arial"/>
          <w:sz w:val="18"/>
          <w:szCs w:val="18"/>
          <w:u w:val="single" w:color="auto"/>
          <w:color w:val="auto"/>
        </w:rPr>
        <w:t>Term of Employment</w:t>
      </w:r>
      <w:r>
        <w:rPr>
          <w:rFonts w:ascii="Arial" w:cs="Arial" w:eastAsia="Arial" w:hAnsi="Arial"/>
          <w:sz w:val="18"/>
          <w:szCs w:val="18"/>
          <w:color w:val="auto"/>
        </w:rPr>
        <w:t>” as used in this Agreement shall refer to the entire period of employment of Executive by the Company.</w:t>
      </w:r>
    </w:p>
    <w:p>
      <w:pPr>
        <w:spacing w:after="0" w:line="67" w:lineRule="exact"/>
        <w:rPr>
          <w:rFonts w:ascii="Arial" w:cs="Arial" w:eastAsia="Arial" w:hAnsi="Arial"/>
          <w:sz w:val="18"/>
          <w:szCs w:val="18"/>
          <w:b w:val="1"/>
          <w:bCs w:val="1"/>
          <w:color w:val="auto"/>
        </w:rPr>
      </w:pPr>
    </w:p>
    <w:p>
      <w:pPr>
        <w:ind w:left="560" w:hanging="184"/>
        <w:spacing w:after="0"/>
        <w:tabs>
          <w:tab w:leader="none" w:pos="5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60" w:firstLine="987"/>
        <w:spacing w:after="0" w:line="259" w:lineRule="auto"/>
        <w:tabs>
          <w:tab w:leader="none" w:pos="1186" w:val="left"/>
        </w:tabs>
        <w:numPr>
          <w:ilvl w:val="1"/>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Annual Base Salary</w:t>
      </w:r>
      <w:r>
        <w:rPr>
          <w:rFonts w:ascii="Arial" w:cs="Arial" w:eastAsia="Arial" w:hAnsi="Arial"/>
          <w:sz w:val="18"/>
          <w:szCs w:val="18"/>
          <w:color w:val="auto"/>
        </w:rPr>
        <w:t>. Executive shall receive a base salary at the rate of $340,000 per annum (as may be increased from time to time, the “</w:t>
      </w:r>
      <w:r>
        <w:rPr>
          <w:rFonts w:ascii="Arial" w:cs="Arial" w:eastAsia="Arial" w:hAnsi="Arial"/>
          <w:sz w:val="18"/>
          <w:szCs w:val="18"/>
          <w:u w:val="single" w:color="auto"/>
          <w:color w:val="auto"/>
        </w:rPr>
        <w:t>Annual Base Salary</w:t>
      </w:r>
      <w:r>
        <w:rPr>
          <w:rFonts w:ascii="Arial" w:cs="Arial" w:eastAsia="Arial" w:hAnsi="Arial"/>
          <w:sz w:val="18"/>
          <w:szCs w:val="18"/>
          <w:color w:val="auto"/>
        </w:rPr>
        <w:t>”), subject to withholdings and deductions, which shall be paid to Executive in accordance with the customary payroll practices and procedures of the Company. Such Annual Base Salary shall be reviewed by the Board, not less than annually, and may be increased, but not decreased, in connection with any such review.</w:t>
      </w:r>
    </w:p>
    <w:p>
      <w:pPr>
        <w:spacing w:after="0" w:line="78" w:lineRule="exact"/>
        <w:rPr>
          <w:rFonts w:ascii="Arial" w:cs="Arial" w:eastAsia="Arial" w:hAnsi="Arial"/>
          <w:sz w:val="18"/>
          <w:szCs w:val="18"/>
          <w:b w:val="1"/>
          <w:bCs w:val="1"/>
          <w:color w:val="auto"/>
        </w:rPr>
      </w:pPr>
    </w:p>
    <w:p>
      <w:pPr>
        <w:ind w:left="-60" w:right="60" w:firstLine="987"/>
        <w:spacing w:after="0" w:line="259" w:lineRule="auto"/>
        <w:tabs>
          <w:tab w:leader="none" w:pos="1196" w:val="left"/>
        </w:tabs>
        <w:numPr>
          <w:ilvl w:val="1"/>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Executive shall be eligible to receive a discretionary annual bonus based on Executive’s achievement of performance objectives in accordance with the terms set forth by the Board, such bonus target to be equal to 40% of Executive’s Annual Base Salary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Any Annual Bonus earned will be paid at the same time annual bonuses are paid to other executives of the Company generally, subject to any limitations on payment as set forth in Section 6.</w:t>
      </w:r>
    </w:p>
    <w:p>
      <w:pPr>
        <w:spacing w:after="0" w:line="78" w:lineRule="exact"/>
        <w:rPr>
          <w:rFonts w:ascii="Arial" w:cs="Arial" w:eastAsia="Arial" w:hAnsi="Arial"/>
          <w:sz w:val="18"/>
          <w:szCs w:val="18"/>
          <w:b w:val="1"/>
          <w:bCs w:val="1"/>
          <w:color w:val="auto"/>
        </w:rPr>
      </w:pPr>
    </w:p>
    <w:p>
      <w:pPr>
        <w:ind w:left="-60" w:right="120" w:firstLine="987"/>
        <w:spacing w:after="0" w:line="286" w:lineRule="auto"/>
        <w:tabs>
          <w:tab w:leader="none" w:pos="1176" w:val="left"/>
        </w:tabs>
        <w:numPr>
          <w:ilvl w:val="1"/>
          <w:numId w:val="183"/>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57" w:lineRule="exact"/>
        <w:rPr>
          <w:rFonts w:ascii="Arial" w:cs="Arial" w:eastAsia="Arial" w:hAnsi="Arial"/>
          <w:sz w:val="17"/>
          <w:szCs w:val="17"/>
          <w:b w:val="1"/>
          <w:bCs w:val="1"/>
          <w:color w:val="auto"/>
        </w:rPr>
      </w:pPr>
    </w:p>
    <w:p>
      <w:pPr>
        <w:ind w:left="-60" w:right="140" w:firstLine="987"/>
        <w:spacing w:after="0" w:line="263" w:lineRule="auto"/>
        <w:tabs>
          <w:tab w:leader="none" w:pos="1196" w:val="left"/>
        </w:tabs>
        <w:numPr>
          <w:ilvl w:val="1"/>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75" w:lineRule="exact"/>
        <w:rPr>
          <w:rFonts w:ascii="Arial" w:cs="Arial" w:eastAsia="Arial" w:hAnsi="Arial"/>
          <w:sz w:val="18"/>
          <w:szCs w:val="18"/>
          <w:b w:val="1"/>
          <w:bCs w:val="1"/>
          <w:color w:val="auto"/>
        </w:rPr>
      </w:pPr>
    </w:p>
    <w:p>
      <w:pPr>
        <w:ind w:left="-60" w:right="40" w:firstLine="987"/>
        <w:spacing w:after="0" w:line="277" w:lineRule="auto"/>
        <w:tabs>
          <w:tab w:leader="none" w:pos="1176" w:val="left"/>
        </w:tabs>
        <w:numPr>
          <w:ilvl w:val="1"/>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not less than fifteen (15) business days of paid vacation each calendar year, pro-rated for partial calendar years of service, which may be taken in accordance with the Company’s vacation policy.</w:t>
      </w:r>
    </w:p>
    <w:p>
      <w:pPr>
        <w:spacing w:after="0" w:line="62" w:lineRule="exact"/>
        <w:rPr>
          <w:rFonts w:ascii="Arial" w:cs="Arial" w:eastAsia="Arial" w:hAnsi="Arial"/>
          <w:sz w:val="18"/>
          <w:szCs w:val="18"/>
          <w:b w:val="1"/>
          <w:bCs w:val="1"/>
          <w:color w:val="auto"/>
        </w:rPr>
      </w:pPr>
    </w:p>
    <w:p>
      <w:pPr>
        <w:ind w:left="1160" w:hanging="233"/>
        <w:spacing w:after="0"/>
        <w:tabs>
          <w:tab w:leader="none" w:pos="1160" w:val="left"/>
        </w:tabs>
        <w:numPr>
          <w:ilvl w:val="1"/>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shall be eligible to receive grants of equity awards in the Company’s sole discretion.</w:t>
      </w:r>
    </w:p>
    <w:p>
      <w:pPr>
        <w:spacing w:after="0" w:line="117" w:lineRule="exact"/>
        <w:rPr>
          <w:rFonts w:ascii="Arial" w:cs="Arial" w:eastAsia="Arial" w:hAnsi="Arial"/>
          <w:sz w:val="18"/>
          <w:szCs w:val="18"/>
          <w:b w:val="1"/>
          <w:bCs w:val="1"/>
          <w:color w:val="auto"/>
        </w:rPr>
      </w:pPr>
    </w:p>
    <w:p>
      <w:pPr>
        <w:jc w:val="both"/>
        <w:ind w:left="-60" w:right="40" w:firstLine="987"/>
        <w:spacing w:after="0" w:line="263" w:lineRule="auto"/>
        <w:tabs>
          <w:tab w:leader="none" w:pos="1186" w:val="left"/>
        </w:tabs>
        <w:numPr>
          <w:ilvl w:val="1"/>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Agreement Insurance</w:t>
      </w:r>
      <w:r>
        <w:rPr>
          <w:rFonts w:ascii="Arial" w:cs="Arial" w:eastAsia="Arial" w:hAnsi="Arial"/>
          <w:sz w:val="18"/>
          <w:szCs w:val="18"/>
          <w:color w:val="auto"/>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70" w:right="519" w:bottom="1440" w:gutter="0" w:footer="0" w:header="0"/>
        </w:sectPr>
      </w:pPr>
    </w:p>
    <w:bookmarkStart w:id="284" w:name="page285"/>
    <w:bookmarkEnd w:id="284"/>
    <w:p>
      <w:pPr>
        <w:ind w:left="4" w:right="40" w:firstLine="436"/>
        <w:spacing w:after="0" w:line="270" w:lineRule="auto"/>
        <w:tabs>
          <w:tab w:leader="none" w:pos="624"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Acceleration of Equity Awards Upon a Change in Control</w:t>
      </w:r>
      <w:r>
        <w:rPr>
          <w:rFonts w:ascii="Arial" w:cs="Arial" w:eastAsia="Arial" w:hAnsi="Arial"/>
          <w:sz w:val="17"/>
          <w:szCs w:val="17"/>
          <w:color w:val="auto"/>
        </w:rPr>
        <w:t>. Notwithstanding anything herein to the contrary, in the event of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vesting of Executive’s then outstanding options, restricted stock and other equity awards covering shares of the Company’s common stock (collectively, “</w:t>
      </w:r>
      <w:r>
        <w:rPr>
          <w:rFonts w:ascii="Arial" w:cs="Arial" w:eastAsia="Arial" w:hAnsi="Arial"/>
          <w:sz w:val="17"/>
          <w:szCs w:val="17"/>
          <w:u w:val="single" w:color="auto"/>
          <w:color w:val="auto"/>
        </w:rPr>
        <w:t>Equity Awards</w:t>
      </w:r>
      <w:r>
        <w:rPr>
          <w:rFonts w:ascii="Arial" w:cs="Arial" w:eastAsia="Arial" w:hAnsi="Arial"/>
          <w:sz w:val="17"/>
          <w:szCs w:val="17"/>
          <w:color w:val="auto"/>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68" w:lineRule="exact"/>
        <w:rPr>
          <w:rFonts w:ascii="Arial" w:cs="Arial" w:eastAsia="Arial" w:hAnsi="Arial"/>
          <w:sz w:val="17"/>
          <w:szCs w:val="17"/>
          <w:b w:val="1"/>
          <w:bCs w:val="1"/>
          <w:color w:val="auto"/>
        </w:rPr>
      </w:pPr>
    </w:p>
    <w:p>
      <w:pPr>
        <w:ind w:left="624" w:hanging="184"/>
        <w:spacing w:after="0"/>
        <w:tabs>
          <w:tab w:leader="none" w:pos="624" w:val="left"/>
        </w:tabs>
        <w:numPr>
          <w:ilvl w:val="1"/>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290" w:lineRule="auto"/>
        <w:tabs>
          <w:tab w:leader="none" w:pos="1250" w:val="left"/>
        </w:tabs>
        <w:numPr>
          <w:ilvl w:val="2"/>
          <w:numId w:val="184"/>
        </w:numPr>
        <w:rPr>
          <w:rFonts w:ascii="Arial" w:cs="Arial" w:eastAsia="Arial" w:hAnsi="Arial"/>
          <w:sz w:val="16"/>
          <w:szCs w:val="16"/>
          <w:b w:val="1"/>
          <w:bCs w:val="1"/>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Board. If Executive’s employment terminates for any lawful reason, Executive shall not be entitled to any payments, benefits, Equity Awards or other compensation other than as provided in this Agreement.</w:t>
      </w:r>
    </w:p>
    <w:p>
      <w:pPr>
        <w:spacing w:after="0" w:line="57" w:lineRule="exact"/>
        <w:rPr>
          <w:rFonts w:ascii="Arial" w:cs="Arial" w:eastAsia="Arial" w:hAnsi="Arial"/>
          <w:sz w:val="16"/>
          <w:szCs w:val="16"/>
          <w:b w:val="1"/>
          <w:bCs w:val="1"/>
          <w:color w:val="auto"/>
        </w:rPr>
      </w:pPr>
    </w:p>
    <w:p>
      <w:pPr>
        <w:ind w:left="4" w:right="20" w:firstLine="987"/>
        <w:spacing w:after="0" w:line="291" w:lineRule="auto"/>
        <w:tabs>
          <w:tab w:leader="none" w:pos="1260" w:val="left"/>
        </w:tabs>
        <w:numPr>
          <w:ilvl w:val="2"/>
          <w:numId w:val="184"/>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During the Term of Employment, any termination of Executive’s employment by the Company or by Executive (other than by reason of death) shall be communicated by written notice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from one Party hereto to the other Party hereto</w:t>
      </w:r>
    </w:p>
    <w:p>
      <w:pPr>
        <w:ind w:left="4" w:hanging="4"/>
        <w:spacing w:after="0" w:line="269" w:lineRule="auto"/>
        <w:tabs>
          <w:tab w:leader="none" w:pos="21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72" w:lineRule="exact"/>
        <w:rPr>
          <w:rFonts w:ascii="Arial" w:cs="Arial" w:eastAsia="Arial" w:hAnsi="Arial"/>
          <w:sz w:val="17"/>
          <w:szCs w:val="17"/>
          <w:color w:val="auto"/>
        </w:rPr>
      </w:pPr>
    </w:p>
    <w:p>
      <w:pPr>
        <w:ind w:left="4" w:right="220" w:firstLine="987"/>
        <w:spacing w:after="0" w:line="263" w:lineRule="auto"/>
        <w:tabs>
          <w:tab w:leader="none" w:pos="1240" w:val="left"/>
        </w:tabs>
        <w:numPr>
          <w:ilvl w:val="2"/>
          <w:numId w:val="185"/>
        </w:numPr>
        <w:rPr>
          <w:rFonts w:ascii="Arial" w:cs="Arial" w:eastAsia="Arial" w:hAnsi="Arial"/>
          <w:sz w:val="18"/>
          <w:szCs w:val="18"/>
          <w:b w:val="1"/>
          <w:bCs w:val="1"/>
          <w:color w:val="auto"/>
        </w:rPr>
      </w:pPr>
      <w:r>
        <w:rPr>
          <w:rFonts w:ascii="Arial" w:cs="Arial" w:eastAsia="Arial" w:hAnsi="Arial"/>
          <w:sz w:val="18"/>
          <w:szCs w:val="18"/>
          <w:u w:val="single" w:color="auto"/>
          <w:color w:val="auto"/>
        </w:rPr>
        <w:t>Deemed Resignation</w:t>
      </w:r>
      <w:r>
        <w:rPr>
          <w:rFonts w:ascii="Arial" w:cs="Arial" w:eastAsia="Arial" w:hAnsi="Arial"/>
          <w:sz w:val="18"/>
          <w:szCs w:val="18"/>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285" w:name="page286"/>
    <w:bookmarkEnd w:id="285"/>
    <w:p>
      <w:pPr>
        <w:ind w:left="624" w:hanging="184"/>
        <w:spacing w:after="0"/>
        <w:tabs>
          <w:tab w:leader="none" w:pos="624" w:val="left"/>
        </w:tabs>
        <w:numPr>
          <w:ilvl w:val="1"/>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60" w:firstLine="987"/>
        <w:spacing w:after="0" w:line="311" w:lineRule="auto"/>
        <w:tabs>
          <w:tab w:leader="none" w:pos="1250" w:val="left"/>
        </w:tabs>
        <w:numPr>
          <w:ilvl w:val="2"/>
          <w:numId w:val="186"/>
        </w:numPr>
        <w:rPr>
          <w:rFonts w:ascii="Arial" w:cs="Arial" w:eastAsia="Arial" w:hAnsi="Arial"/>
          <w:sz w:val="16"/>
          <w:szCs w:val="16"/>
          <w:b w:val="1"/>
          <w:bCs w:val="1"/>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the event Executive’s employment with the Company terminates pursuant to Section 5, then Executive shall be entitled to the applicable payments and benefits set forth below subject to Executive delivering to the Company a waiver and release of claims agreement in standard reasonable form approved by the Company that becomes effective and irrevocable in accordance with Section 7 hereof (a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40" w:lineRule="exact"/>
        <w:rPr>
          <w:rFonts w:ascii="Arial" w:cs="Arial" w:eastAsia="Arial" w:hAnsi="Arial"/>
          <w:sz w:val="16"/>
          <w:szCs w:val="16"/>
          <w:b w:val="1"/>
          <w:bCs w:val="1"/>
          <w:color w:val="auto"/>
        </w:rPr>
      </w:pPr>
    </w:p>
    <w:p>
      <w:pPr>
        <w:ind w:left="4" w:right="40" w:firstLine="987"/>
        <w:spacing w:after="0" w:line="291" w:lineRule="auto"/>
        <w:tabs>
          <w:tab w:leader="none" w:pos="1260" w:val="left"/>
        </w:tabs>
        <w:numPr>
          <w:ilvl w:val="2"/>
          <w:numId w:val="186"/>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Payments upon Termination by the Company for Cause or by Executive Without Good Reason</w:t>
      </w:r>
      <w:r>
        <w:rPr>
          <w:rFonts w:ascii="Arial" w:cs="Arial" w:eastAsia="Arial" w:hAnsi="Arial"/>
          <w:sz w:val="16"/>
          <w:szCs w:val="16"/>
          <w:color w:val="auto"/>
        </w:rPr>
        <w:t>. Upon a termination of Executive’s employment with the Company at any time for Cause, Executive (or Executive’s estate or legal representative, as applicable) shall be entitled to receive:</w:t>
      </w:r>
    </w:p>
    <w:p>
      <w:pPr>
        <w:ind w:left="4" w:right="100" w:hanging="4"/>
        <w:spacing w:after="0" w:line="269" w:lineRule="auto"/>
        <w:tabs>
          <w:tab w:leader="none" w:pos="21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portion of Executive’s Annual Base Salary earned through Executive’s Date of Termination not theretofore paid; (ii) any reimbursement of expenses owed to Executive under Section 3(e) above; and (iii) any accrued but unused paid time-off owed to Executive ((i)-(iii) defined as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 Any termination of employment by Executive without Good Reason shall be deemed, and shall be treated as, a termination for “</w:t>
      </w:r>
      <w:r>
        <w:rPr>
          <w:rFonts w:ascii="Arial" w:cs="Arial" w:eastAsia="Arial" w:hAnsi="Arial"/>
          <w:sz w:val="17"/>
          <w:szCs w:val="17"/>
          <w:u w:val="single" w:color="auto"/>
          <w:color w:val="auto"/>
        </w:rPr>
        <w:t>Cause</w:t>
      </w:r>
      <w:r>
        <w:rPr>
          <w:rFonts w:ascii="Arial" w:cs="Arial" w:eastAsia="Arial" w:hAnsi="Arial"/>
          <w:sz w:val="17"/>
          <w:szCs w:val="17"/>
          <w:color w:val="auto"/>
        </w:rPr>
        <w:t>”, and accordingly, the Company shall only be obligated to pay to Executive the amounts described in this Section 6(b).</w:t>
      </w:r>
    </w:p>
    <w:p>
      <w:pPr>
        <w:spacing w:after="0" w:line="72" w:lineRule="exact"/>
        <w:rPr>
          <w:rFonts w:ascii="Arial" w:cs="Arial" w:eastAsia="Arial" w:hAnsi="Arial"/>
          <w:sz w:val="17"/>
          <w:szCs w:val="17"/>
          <w:color w:val="auto"/>
        </w:rPr>
      </w:pPr>
    </w:p>
    <w:p>
      <w:pPr>
        <w:ind w:left="4" w:right="580" w:firstLine="987"/>
        <w:spacing w:after="0" w:line="342" w:lineRule="auto"/>
        <w:tabs>
          <w:tab w:leader="none" w:pos="1240" w:val="left"/>
        </w:tabs>
        <w:numPr>
          <w:ilvl w:val="2"/>
          <w:numId w:val="187"/>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Outside a Change in Control Period</w:t>
      </w:r>
      <w:r>
        <w:rPr>
          <w:rFonts w:ascii="Arial" w:cs="Arial" w:eastAsia="Arial" w:hAnsi="Arial"/>
          <w:sz w:val="16"/>
          <w:szCs w:val="16"/>
          <w:color w:val="auto"/>
        </w:rPr>
        <w:t>. If, outside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4" w:hanging="212"/>
        <w:spacing w:after="0"/>
        <w:tabs>
          <w:tab w:leader="none" w:pos="1644" w:val="left"/>
        </w:tabs>
        <w:numPr>
          <w:ilvl w:val="3"/>
          <w:numId w:val="187"/>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1704" w:hanging="272"/>
        <w:spacing w:after="0"/>
        <w:tabs>
          <w:tab w:leader="none" w:pos="1704" w:val="left"/>
        </w:tabs>
        <w:numPr>
          <w:ilvl w:val="3"/>
          <w:numId w:val="187"/>
        </w:numPr>
        <w:rPr>
          <w:rFonts w:ascii="Arial" w:cs="Arial" w:eastAsia="Arial" w:hAnsi="Arial"/>
          <w:sz w:val="17"/>
          <w:szCs w:val="17"/>
          <w:b w:val="1"/>
          <w:bCs w:val="1"/>
          <w:color w:val="auto"/>
        </w:rPr>
      </w:pPr>
      <w:r>
        <w:rPr>
          <w:rFonts w:ascii="Arial" w:cs="Arial" w:eastAsia="Arial" w:hAnsi="Arial"/>
          <w:sz w:val="17"/>
          <w:szCs w:val="17"/>
          <w:color w:val="auto"/>
        </w:rPr>
        <w:t>an amount in cash equal to (A) twelve months of Executive’s Annual Base Salary plus (B) Executive’s target Annual Bonus,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pro-rated based on the total number of days elapsed in the calendar year as of Executive’s Date of Termination;</w:t>
      </w:r>
    </w:p>
    <w:p>
      <w:pPr>
        <w:spacing w:after="0" w:line="103" w:lineRule="exact"/>
        <w:rPr>
          <w:sz w:val="20"/>
          <w:szCs w:val="20"/>
          <w:color w:val="auto"/>
        </w:rPr>
      </w:pPr>
    </w:p>
    <w:p>
      <w:pPr>
        <w:jc w:val="both"/>
        <w:ind w:left="4" w:firstLine="1428"/>
        <w:spacing w:after="0" w:line="263" w:lineRule="auto"/>
        <w:tabs>
          <w:tab w:leader="none" w:pos="1751"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fifty percent (50%) of the unvested Equity Awards held by the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left="4" w:right="20" w:firstLine="1428"/>
        <w:spacing w:after="0" w:line="257" w:lineRule="auto"/>
        <w:tabs>
          <w:tab w:leader="none" w:pos="1741"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during the period commencing on the Date of Termination and ending on the six-month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thereunder (“</w:t>
      </w:r>
      <w:r>
        <w:rPr>
          <w:rFonts w:ascii="Arial" w:cs="Arial" w:eastAsia="Arial" w:hAnsi="Arial"/>
          <w:sz w:val="18"/>
          <w:szCs w:val="18"/>
          <w:u w:val="single" w:color="auto"/>
          <w:color w:val="auto"/>
        </w:rPr>
        <w:t>COBRA</w:t>
      </w:r>
      <w:r>
        <w:rPr>
          <w:rFonts w:ascii="Arial" w:cs="Arial" w:eastAsia="Arial" w:hAnsi="Arial"/>
          <w:sz w:val="18"/>
          <w:szCs w:val="18"/>
          <w:color w:val="auto"/>
        </w:rPr>
        <w:t>”), the Company shall, in its sole discretion, either (A) continue to provide to Executive and Executive’s dependents, at the Company’s sole expense, or (B) reimburse Executive and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286" w:name="page287"/>
    <w:bookmarkEnd w:id="286"/>
    <w:p>
      <w:pPr>
        <w:ind w:left="4" w:right="1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Executive’s dependents for the cost of, in either case, coverage under its group health plan (if any) at the same coverage levels in effect on the Date of Termination (“</w:t>
      </w:r>
      <w:r>
        <w:rPr>
          <w:rFonts w:ascii="Arial" w:cs="Arial" w:eastAsia="Arial" w:hAnsi="Arial"/>
          <w:sz w:val="16"/>
          <w:szCs w:val="16"/>
          <w:u w:val="single" w:color="auto"/>
          <w:color w:val="auto"/>
        </w:rPr>
        <w:t>Benefits Coverage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(1) any plan pursuant to which such benefits are provided is not, or ceases prior to the expiration of the continuation coverage period to be, exempt from the application of Section 409A under Treasury Regulation Section 1.409A-1(a)(5),</w:t>
      </w:r>
    </w:p>
    <w:p>
      <w:pPr>
        <w:spacing w:after="0" w:line="2" w:lineRule="exact"/>
        <w:rPr>
          <w:sz w:val="20"/>
          <w:szCs w:val="20"/>
          <w:color w:val="auto"/>
        </w:rPr>
      </w:pPr>
    </w:p>
    <w:p>
      <w:pPr>
        <w:ind w:left="4" w:right="60" w:hanging="4"/>
        <w:spacing w:after="0" w:line="253" w:lineRule="auto"/>
        <w:tabs>
          <w:tab w:leader="none" w:pos="25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84" w:lineRule="exact"/>
        <w:rPr>
          <w:rFonts w:ascii="Arial" w:cs="Arial" w:eastAsia="Arial" w:hAnsi="Arial"/>
          <w:sz w:val="18"/>
          <w:szCs w:val="18"/>
          <w:color w:val="auto"/>
        </w:rPr>
      </w:pPr>
    </w:p>
    <w:p>
      <w:pPr>
        <w:ind w:left="4" w:right="660" w:firstLine="987"/>
        <w:spacing w:after="0" w:line="342" w:lineRule="auto"/>
        <w:tabs>
          <w:tab w:leader="none" w:pos="1260" w:val="left"/>
        </w:tabs>
        <w:numPr>
          <w:ilvl w:val="1"/>
          <w:numId w:val="189"/>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During a Change in Control Period</w:t>
      </w:r>
      <w:r>
        <w:rPr>
          <w:rFonts w:ascii="Arial" w:cs="Arial" w:eastAsia="Arial" w:hAnsi="Arial"/>
          <w:sz w:val="16"/>
          <w:szCs w:val="16"/>
          <w:color w:val="auto"/>
        </w:rPr>
        <w:t>. If, during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4" w:hanging="212"/>
        <w:spacing w:after="0"/>
        <w:tabs>
          <w:tab w:leader="none" w:pos="1644" w:val="left"/>
        </w:tabs>
        <w:numPr>
          <w:ilvl w:val="2"/>
          <w:numId w:val="189"/>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1704" w:hanging="272"/>
        <w:spacing w:after="0"/>
        <w:tabs>
          <w:tab w:leader="none" w:pos="1704" w:val="left"/>
        </w:tabs>
        <w:numPr>
          <w:ilvl w:val="2"/>
          <w:numId w:val="189"/>
        </w:numPr>
        <w:rPr>
          <w:rFonts w:ascii="Arial" w:cs="Arial" w:eastAsia="Arial" w:hAnsi="Arial"/>
          <w:sz w:val="16"/>
          <w:szCs w:val="16"/>
          <w:b w:val="1"/>
          <w:bCs w:val="1"/>
          <w:color w:val="auto"/>
        </w:rPr>
      </w:pPr>
      <w:r>
        <w:rPr>
          <w:rFonts w:ascii="Arial" w:cs="Arial" w:eastAsia="Arial" w:hAnsi="Arial"/>
          <w:sz w:val="16"/>
          <w:szCs w:val="16"/>
          <w:color w:val="auto"/>
        </w:rPr>
        <w:t>an amount in cash equal to (A) eighteen months of Executive’s Annual Base Salary plus (B) Executive’s target Annual Bonus;</w:t>
      </w:r>
    </w:p>
    <w:p>
      <w:pPr>
        <w:spacing w:after="0" w:line="140" w:lineRule="exact"/>
        <w:rPr>
          <w:rFonts w:ascii="Arial" w:cs="Arial" w:eastAsia="Arial" w:hAnsi="Arial"/>
          <w:sz w:val="16"/>
          <w:szCs w:val="16"/>
          <w:b w:val="1"/>
          <w:bCs w:val="1"/>
          <w:color w:val="auto"/>
        </w:rPr>
      </w:pPr>
    </w:p>
    <w:p>
      <w:pPr>
        <w:jc w:val="both"/>
        <w:ind w:left="4" w:right="120" w:firstLine="1428"/>
        <w:spacing w:after="0" w:line="263" w:lineRule="auto"/>
        <w:tabs>
          <w:tab w:leader="none" w:pos="1751" w:val="left"/>
        </w:tabs>
        <w:numPr>
          <w:ilvl w:val="2"/>
          <w:numId w:val="189"/>
        </w:numPr>
        <w:rPr>
          <w:rFonts w:ascii="Arial" w:cs="Arial" w:eastAsia="Arial" w:hAnsi="Arial"/>
          <w:sz w:val="18"/>
          <w:szCs w:val="18"/>
          <w:b w:val="1"/>
          <w:bCs w:val="1"/>
          <w:color w:val="auto"/>
        </w:rPr>
      </w:pPr>
      <w:r>
        <w:rPr>
          <w:rFonts w:ascii="Arial" w:cs="Arial" w:eastAsia="Arial" w:hAnsi="Arial"/>
          <w:sz w:val="18"/>
          <w:szCs w:val="18"/>
          <w:color w:val="auto"/>
        </w:rPr>
        <w:t>one hundred percent (100%) of all unvested Equity Awards held by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left="4" w:firstLine="1428"/>
        <w:spacing w:after="0" w:line="269" w:lineRule="auto"/>
        <w:tabs>
          <w:tab w:leader="none" w:pos="1741" w:val="left"/>
        </w:tabs>
        <w:numPr>
          <w:ilvl w:val="2"/>
          <w:numId w:val="189"/>
        </w:numPr>
        <w:rPr>
          <w:rFonts w:ascii="Arial" w:cs="Arial" w:eastAsia="Arial" w:hAnsi="Arial"/>
          <w:sz w:val="17"/>
          <w:szCs w:val="17"/>
          <w:b w:val="1"/>
          <w:bCs w:val="1"/>
          <w:color w:val="auto"/>
        </w:rPr>
      </w:pPr>
      <w:r>
        <w:rPr>
          <w:rFonts w:ascii="Arial" w:cs="Arial" w:eastAsia="Arial" w:hAnsi="Arial"/>
          <w:sz w:val="17"/>
          <w:szCs w:val="17"/>
          <w:color w:val="auto"/>
        </w:rPr>
        <w:t xml:space="preserve">during the period commencing on the Date of Termination and ending on the first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77" w:lineRule="exact"/>
        <w:rPr>
          <w:rFonts w:ascii="Arial" w:cs="Arial" w:eastAsia="Arial" w:hAnsi="Arial"/>
          <w:sz w:val="17"/>
          <w:szCs w:val="17"/>
          <w:b w:val="1"/>
          <w:bCs w:val="1"/>
          <w:color w:val="auto"/>
        </w:rPr>
      </w:pPr>
    </w:p>
    <w:p>
      <w:pPr>
        <w:ind w:left="4" w:right="80" w:firstLine="987"/>
        <w:spacing w:after="0" w:line="263" w:lineRule="auto"/>
        <w:tabs>
          <w:tab w:leader="none" w:pos="1240" w:val="left"/>
        </w:tabs>
        <w:numPr>
          <w:ilvl w:val="1"/>
          <w:numId w:val="189"/>
        </w:numPr>
        <w:rPr>
          <w:rFonts w:ascii="Arial" w:cs="Arial" w:eastAsia="Arial" w:hAnsi="Arial"/>
          <w:sz w:val="18"/>
          <w:szCs w:val="18"/>
          <w:b w:val="1"/>
          <w:bCs w:val="1"/>
          <w:color w:val="auto"/>
        </w:rPr>
      </w:pPr>
      <w:r>
        <w:rPr>
          <w:rFonts w:ascii="Arial" w:cs="Arial" w:eastAsia="Arial" w:hAnsi="Arial"/>
          <w:sz w:val="18"/>
          <w:szCs w:val="18"/>
          <w:u w:val="single" w:color="auto"/>
          <w:color w:val="auto"/>
        </w:rPr>
        <w:t>No Other Severance</w:t>
      </w:r>
      <w:r>
        <w:rPr>
          <w:rFonts w:ascii="Arial" w:cs="Arial" w:eastAsia="Arial" w:hAnsi="Arial"/>
          <w:sz w:val="18"/>
          <w:szCs w:val="18"/>
          <w:color w:val="auto"/>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87" w:name="page288"/>
    <w:bookmarkEnd w:id="287"/>
    <w:p>
      <w:pPr>
        <w:ind w:right="180" w:firstLine="987"/>
        <w:spacing w:after="0" w:line="263" w:lineRule="auto"/>
        <w:tabs>
          <w:tab w:leader="none" w:pos="1216" w:val="left"/>
        </w:tabs>
        <w:numPr>
          <w:ilvl w:val="1"/>
          <w:numId w:val="19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71" w:lineRule="exact"/>
        <w:rPr>
          <w:rFonts w:ascii="Arial" w:cs="Arial" w:eastAsia="Arial" w:hAnsi="Arial"/>
          <w:sz w:val="18"/>
          <w:szCs w:val="18"/>
          <w:b w:val="1"/>
          <w:bCs w:val="1"/>
          <w:color w:val="auto"/>
        </w:rPr>
      </w:pPr>
    </w:p>
    <w:p>
      <w:pPr>
        <w:ind w:firstLine="436"/>
        <w:spacing w:after="0" w:line="286" w:lineRule="auto"/>
        <w:tabs>
          <w:tab w:leader="none" w:pos="62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Notwithstanding anything to the contrary in this Agreement, any payments or other benefits due under this Agreement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are subject to Executive’s execution and delivery of a Release, (a) the Company shall deliver the Release to Executive within ten (10) business days following Executive’s Date of Termination, and the Company’s failure to deliver a Release prior to the expiration of such ten (10) business day period shall constitute a waiver of any requirement to execute a Release, (b) if Executive fails to execute the Release on or prior to the Release Expiration Date (as defined below) or timely revokes Executive’s acceptance of the Release thereafter, Executive shall not be entitled to any payments or benefits otherwise conditioned on the Release, and (c)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(as defined below) shall be made in the later taxable year. For purposes of this Section 7,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w:t>
      </w:r>
      <w:r>
        <w:rPr>
          <w:rFonts w:ascii="Arial" w:cs="Arial" w:eastAsia="Arial" w:hAnsi="Arial"/>
          <w:sz w:val="16"/>
          <w:szCs w:val="16"/>
          <w:b w:val="1"/>
          <w:bCs w:val="1"/>
          <w:color w:val="auto"/>
        </w:rPr>
        <w:t>”</w:t>
      </w:r>
      <w:r>
        <w:rPr>
          <w:rFonts w:ascii="Arial" w:cs="Arial" w:eastAsia="Arial" w:hAnsi="Arial"/>
          <w:sz w:val="16"/>
          <w:szCs w:val="16"/>
          <w:color w:val="auto"/>
        </w:rPr>
        <w:t xml:space="preserve"> (as such phrase is defined in the Age Discrimination in Employment Act of 1967)</w:t>
      </w:r>
      <w:r>
        <w:rPr>
          <w:rFonts w:ascii="Arial" w:cs="Arial" w:eastAsia="Arial" w:hAnsi="Arial"/>
          <w:sz w:val="16"/>
          <w:szCs w:val="16"/>
          <w:b w:val="1"/>
          <w:bCs w:val="1"/>
          <w:color w:val="auto"/>
        </w:rPr>
        <w:t>,</w:t>
      </w:r>
      <w:r>
        <w:rPr>
          <w:rFonts w:ascii="Arial" w:cs="Arial" w:eastAsia="Arial" w:hAnsi="Arial"/>
          <w:sz w:val="16"/>
          <w:szCs w:val="16"/>
          <w:color w:val="auto"/>
        </w:rPr>
        <w:t xml:space="preserve"> the date that is forty-five (45) days following such delivery date. To the extent that any payments of nonqualified deferred compensation (within the meaning of Section 409A (as defined below)) due under this Agreement as a result of Executive’s termination of employment are delayed pursuant to this Section 7, such amounts shall be paid in a lump sum on the first payroll date following the date that Executive executes and does not revoke the Release (and the applicable revocation period has expired) or, in the case of any payments subject to Section 7(c)</w:t>
      </w:r>
      <w:r>
        <w:rPr>
          <w:rFonts w:ascii="Arial" w:cs="Arial" w:eastAsia="Arial" w:hAnsi="Arial"/>
          <w:sz w:val="16"/>
          <w:szCs w:val="16"/>
          <w:b w:val="1"/>
          <w:bCs w:val="1"/>
          <w:color w:val="auto"/>
        </w:rPr>
        <w:t>,</w:t>
      </w:r>
      <w:r>
        <w:rPr>
          <w:rFonts w:ascii="Arial" w:cs="Arial" w:eastAsia="Arial" w:hAnsi="Arial"/>
          <w:sz w:val="16"/>
          <w:szCs w:val="16"/>
          <w:color w:val="auto"/>
        </w:rPr>
        <w:t xml:space="preserve"> on the first payroll period to occur in the subsequent taxable year, if later.</w:t>
      </w:r>
    </w:p>
    <w:p>
      <w:pPr>
        <w:spacing w:after="0" w:line="59" w:lineRule="exact"/>
        <w:rPr>
          <w:rFonts w:ascii="Arial" w:cs="Arial" w:eastAsia="Arial" w:hAnsi="Arial"/>
          <w:sz w:val="16"/>
          <w:szCs w:val="16"/>
          <w:b w:val="1"/>
          <w:bCs w:val="1"/>
          <w:color w:val="auto"/>
        </w:rPr>
      </w:pPr>
    </w:p>
    <w:p>
      <w:pPr>
        <w:ind w:firstLine="436"/>
        <w:spacing w:after="0" w:line="294" w:lineRule="auto"/>
        <w:tabs>
          <w:tab w:leader="none" w:pos="62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color w:val="auto"/>
        </w:rPr>
        <w:t>. For a period of one (1) year following Executive’s Date of Termination, Executive shall not, either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spacing w:after="0" w:line="51" w:lineRule="exact"/>
        <w:rPr>
          <w:rFonts w:ascii="Arial" w:cs="Arial" w:eastAsia="Arial" w:hAnsi="Arial"/>
          <w:sz w:val="16"/>
          <w:szCs w:val="16"/>
          <w:b w:val="1"/>
          <w:bCs w:val="1"/>
          <w:color w:val="auto"/>
        </w:rPr>
      </w:pPr>
    </w:p>
    <w:p>
      <w:pPr>
        <w:ind w:left="620" w:hanging="184"/>
        <w:spacing w:after="0"/>
        <w:tabs>
          <w:tab w:leader="none" w:pos="62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Golden Parachute Excise Tax</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40" w:firstLine="987"/>
        <w:spacing w:after="0" w:line="263" w:lineRule="auto"/>
        <w:tabs>
          <w:tab w:leader="none" w:pos="1246" w:val="left"/>
        </w:tabs>
        <w:numPr>
          <w:ilvl w:val="1"/>
          <w:numId w:val="191"/>
        </w:numPr>
        <w:rPr>
          <w:rFonts w:ascii="Arial" w:cs="Arial" w:eastAsia="Arial" w:hAnsi="Arial"/>
          <w:sz w:val="18"/>
          <w:szCs w:val="18"/>
          <w:b w:val="1"/>
          <w:bCs w:val="1"/>
          <w:color w:val="auto"/>
        </w:rPr>
      </w:pPr>
      <w:r>
        <w:rPr>
          <w:rFonts w:ascii="Arial" w:cs="Arial" w:eastAsia="Arial" w:hAnsi="Arial"/>
          <w:sz w:val="18"/>
          <w:szCs w:val="18"/>
          <w:u w:val="single" w:color="auto"/>
          <w:color w:val="auto"/>
        </w:rPr>
        <w:t>Best Pay</w:t>
      </w:r>
      <w:r>
        <w:rPr>
          <w:rFonts w:ascii="Arial" w:cs="Arial" w:eastAsia="Arial" w:hAnsi="Arial"/>
          <w:sz w:val="18"/>
          <w:szCs w:val="18"/>
          <w:color w:val="auto"/>
        </w:rPr>
        <w:t>. Any provision of this Agreement to the contrary notwithstanding, if any payment or benefit Executive would receive from the Company pursuant to this Agreement or otherwise (“</w:t>
      </w:r>
      <w:r>
        <w:rPr>
          <w:rFonts w:ascii="Arial" w:cs="Arial" w:eastAsia="Arial" w:hAnsi="Arial"/>
          <w:sz w:val="18"/>
          <w:szCs w:val="18"/>
          <w:u w:val="single" w:color="auto"/>
          <w:color w:val="auto"/>
        </w:rPr>
        <w:t>Payment</w:t>
      </w:r>
      <w:r>
        <w:rPr>
          <w:rFonts w:ascii="Arial" w:cs="Arial" w:eastAsia="Arial" w:hAnsi="Arial"/>
          <w:sz w:val="18"/>
          <w:szCs w:val="18"/>
          <w:color w:val="auto"/>
        </w:rPr>
        <w:t>”) would (i) constitute a “parachute payment” within the meaning of Section 280G of the Code and (ii) but for this sentence, be subject to the excise tax imposed 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88" w:name="page289"/>
    <w:bookmarkEnd w:id="288"/>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w:t>
      </w:r>
    </w:p>
    <w:p>
      <w:pPr>
        <w:ind w:left="4" w:hanging="4"/>
        <w:spacing w:after="0" w:line="284" w:lineRule="auto"/>
        <w:tabs>
          <w:tab w:leader="none" w:pos="28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u w:val="single" w:color="auto"/>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u w:val="single" w:color="auto"/>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xml:space="preserve">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69" w:lineRule="exact"/>
        <w:rPr>
          <w:rFonts w:ascii="Arial" w:cs="Arial" w:eastAsia="Arial" w:hAnsi="Arial"/>
          <w:sz w:val="16"/>
          <w:szCs w:val="16"/>
          <w:color w:val="auto"/>
        </w:rPr>
      </w:pPr>
    </w:p>
    <w:p>
      <w:pPr>
        <w:ind w:left="4" w:firstLine="987"/>
        <w:spacing w:after="0" w:line="289" w:lineRule="auto"/>
        <w:tabs>
          <w:tab w:leader="none" w:pos="1260" w:val="left"/>
        </w:tabs>
        <w:numPr>
          <w:ilvl w:val="1"/>
          <w:numId w:val="192"/>
        </w:numPr>
        <w:rPr>
          <w:rFonts w:ascii="Arial" w:cs="Arial" w:eastAsia="Arial" w:hAnsi="Arial"/>
          <w:sz w:val="16"/>
          <w:szCs w:val="16"/>
          <w:b w:val="1"/>
          <w:bCs w:val="1"/>
          <w:color w:val="auto"/>
        </w:rPr>
      </w:pP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engaged by the Company for general tax purposes as of the day prior to the Change in Control will perform the calculations set forth in Section 9(a)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289" w:name="page290"/>
    <w:bookmarkEnd w:id="289"/>
    <w:p>
      <w:pPr>
        <w:ind w:left="680" w:hanging="264"/>
        <w:spacing w:after="0"/>
        <w:tabs>
          <w:tab w:leader="none" w:pos="6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987"/>
        <w:spacing w:after="0" w:line="269" w:lineRule="auto"/>
        <w:tabs>
          <w:tab w:leader="none" w:pos="1226" w:val="left"/>
        </w:tabs>
        <w:numPr>
          <w:ilvl w:val="1"/>
          <w:numId w:val="193"/>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73" w:lineRule="exact"/>
        <w:rPr>
          <w:rFonts w:ascii="Arial" w:cs="Arial" w:eastAsia="Arial" w:hAnsi="Arial"/>
          <w:sz w:val="17"/>
          <w:szCs w:val="17"/>
          <w:b w:val="1"/>
          <w:bCs w:val="1"/>
          <w:color w:val="auto"/>
        </w:rPr>
      </w:pPr>
    </w:p>
    <w:p>
      <w:pPr>
        <w:ind w:left="-20" w:right="100" w:firstLine="987"/>
        <w:spacing w:after="0" w:line="290" w:lineRule="auto"/>
        <w:tabs>
          <w:tab w:leader="none" w:pos="1236" w:val="left"/>
        </w:tabs>
        <w:numPr>
          <w:ilvl w:val="1"/>
          <w:numId w:val="193"/>
        </w:numPr>
        <w:rPr>
          <w:rFonts w:ascii="Arial" w:cs="Arial" w:eastAsia="Arial" w:hAnsi="Arial"/>
          <w:sz w:val="16"/>
          <w:szCs w:val="16"/>
          <w:b w:val="1"/>
          <w:bCs w:val="1"/>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16"/>
          <w:szCs w:val="16"/>
          <w:u w:val="single" w:color="auto"/>
          <w:color w:val="auto"/>
        </w:rPr>
        <w:t>Separation from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57" w:lineRule="exact"/>
        <w:rPr>
          <w:rFonts w:ascii="Arial" w:cs="Arial" w:eastAsia="Arial" w:hAnsi="Arial"/>
          <w:sz w:val="16"/>
          <w:szCs w:val="16"/>
          <w:b w:val="1"/>
          <w:bCs w:val="1"/>
          <w:color w:val="auto"/>
        </w:rPr>
      </w:pPr>
    </w:p>
    <w:p>
      <w:pPr>
        <w:ind w:left="-20" w:right="40" w:firstLine="987"/>
        <w:spacing w:after="0" w:line="291" w:lineRule="auto"/>
        <w:tabs>
          <w:tab w:leader="none" w:pos="1216" w:val="left"/>
        </w:tabs>
        <w:numPr>
          <w:ilvl w:val="1"/>
          <w:numId w:val="193"/>
        </w:numPr>
        <w:rPr>
          <w:rFonts w:ascii="Arial" w:cs="Arial" w:eastAsia="Arial" w:hAnsi="Arial"/>
          <w:sz w:val="16"/>
          <w:szCs w:val="16"/>
          <w:b w:val="1"/>
          <w:bCs w:val="1"/>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54" w:lineRule="exact"/>
        <w:rPr>
          <w:rFonts w:ascii="Arial" w:cs="Arial" w:eastAsia="Arial" w:hAnsi="Arial"/>
          <w:sz w:val="16"/>
          <w:szCs w:val="16"/>
          <w:b w:val="1"/>
          <w:bCs w:val="1"/>
          <w:color w:val="auto"/>
        </w:rPr>
      </w:pPr>
    </w:p>
    <w:p>
      <w:pPr>
        <w:jc w:val="both"/>
        <w:ind w:left="-20" w:right="60" w:firstLine="436"/>
        <w:spacing w:after="0" w:line="266" w:lineRule="auto"/>
        <w:tabs>
          <w:tab w:leader="none" w:pos="6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or other taxes or charges which the Company is required to withhold. The Company shall be entitled to rely on an opinion of counsel if any questions as to the amount or requirement of withholding shall arise.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290" w:name="page291"/>
    <w:bookmarkEnd w:id="290"/>
    <w:p>
      <w:pPr>
        <w:ind w:left="704" w:hanging="264"/>
        <w:spacing w:after="0"/>
        <w:tabs>
          <w:tab w:leader="none" w:pos="704"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4" w:lineRule="auto"/>
        <w:tabs>
          <w:tab w:leader="none" w:pos="1250" w:val="left"/>
        </w:tabs>
        <w:numPr>
          <w:ilvl w:val="2"/>
          <w:numId w:val="194"/>
        </w:numPr>
        <w:rPr>
          <w:rFonts w:ascii="Arial" w:cs="Arial" w:eastAsia="Arial" w:hAnsi="Arial"/>
          <w:sz w:val="16"/>
          <w:szCs w:val="16"/>
          <w:b w:val="1"/>
          <w:bCs w:val="1"/>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w:t>
      </w:r>
    </w:p>
    <w:p>
      <w:pPr>
        <w:spacing w:after="0" w:line="4" w:lineRule="exact"/>
        <w:rPr>
          <w:rFonts w:ascii="Arial" w:cs="Arial" w:eastAsia="Arial" w:hAnsi="Arial"/>
          <w:sz w:val="16"/>
          <w:szCs w:val="16"/>
          <w:b w:val="1"/>
          <w:bCs w:val="1"/>
          <w:color w:val="auto"/>
        </w:rPr>
      </w:pPr>
    </w:p>
    <w:p>
      <w:pPr>
        <w:ind w:left="4" w:right="340" w:hanging="4"/>
        <w:spacing w:after="0" w:line="277" w:lineRule="auto"/>
        <w:tabs>
          <w:tab w:leader="none" w:pos="24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64" w:lineRule="exact"/>
        <w:rPr>
          <w:rFonts w:ascii="Arial" w:cs="Arial" w:eastAsia="Arial" w:hAnsi="Arial"/>
          <w:sz w:val="17"/>
          <w:szCs w:val="17"/>
          <w:color w:val="auto"/>
        </w:rPr>
      </w:pPr>
    </w:p>
    <w:p>
      <w:pPr>
        <w:ind w:left="4" w:firstLine="987"/>
        <w:spacing w:after="0" w:line="275" w:lineRule="auto"/>
        <w:tabs>
          <w:tab w:leader="none" w:pos="1260" w:val="left"/>
        </w:tabs>
        <w:numPr>
          <w:ilvl w:val="2"/>
          <w:numId w:val="195"/>
        </w:numPr>
        <w:rPr>
          <w:rFonts w:ascii="Arial" w:cs="Arial" w:eastAsia="Arial" w:hAnsi="Arial"/>
          <w:sz w:val="17"/>
          <w:szCs w:val="17"/>
          <w:b w:val="1"/>
          <w:bCs w:val="1"/>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68" w:lineRule="exact"/>
        <w:rPr>
          <w:rFonts w:ascii="Arial" w:cs="Arial" w:eastAsia="Arial" w:hAnsi="Arial"/>
          <w:sz w:val="17"/>
          <w:szCs w:val="17"/>
          <w:b w:val="1"/>
          <w:bCs w:val="1"/>
          <w:color w:val="auto"/>
        </w:rPr>
      </w:pPr>
    </w:p>
    <w:p>
      <w:pPr>
        <w:ind w:left="4" w:right="180" w:firstLine="987"/>
        <w:spacing w:after="0" w:line="259" w:lineRule="auto"/>
        <w:tabs>
          <w:tab w:leader="none" w:pos="1240" w:val="left"/>
        </w:tabs>
        <w:numPr>
          <w:ilvl w:val="2"/>
          <w:numId w:val="195"/>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78" w:lineRule="exact"/>
        <w:rPr>
          <w:rFonts w:ascii="Arial" w:cs="Arial" w:eastAsia="Arial" w:hAnsi="Arial"/>
          <w:sz w:val="18"/>
          <w:szCs w:val="18"/>
          <w:b w:val="1"/>
          <w:bCs w:val="1"/>
          <w:color w:val="auto"/>
        </w:rPr>
      </w:pPr>
    </w:p>
    <w:p>
      <w:pPr>
        <w:ind w:left="4" w:right="920" w:firstLine="987"/>
        <w:spacing w:after="0" w:line="277" w:lineRule="auto"/>
        <w:tabs>
          <w:tab w:leader="none" w:pos="1260" w:val="left"/>
        </w:tabs>
        <w:numPr>
          <w:ilvl w:val="2"/>
          <w:numId w:val="195"/>
        </w:numPr>
        <w:rPr>
          <w:rFonts w:ascii="Arial" w:cs="Arial" w:eastAsia="Arial" w:hAnsi="Arial"/>
          <w:sz w:val="18"/>
          <w:szCs w:val="18"/>
          <w:b w:val="1"/>
          <w:bCs w:val="1"/>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2" w:lineRule="exact"/>
        <w:rPr>
          <w:rFonts w:ascii="Arial" w:cs="Arial" w:eastAsia="Arial" w:hAnsi="Arial"/>
          <w:sz w:val="18"/>
          <w:szCs w:val="18"/>
          <w:b w:val="1"/>
          <w:bCs w:val="1"/>
          <w:color w:val="auto"/>
        </w:rPr>
      </w:pPr>
    </w:p>
    <w:p>
      <w:pPr>
        <w:ind w:left="4" w:right="160" w:firstLine="987"/>
        <w:spacing w:after="0" w:line="273" w:lineRule="auto"/>
        <w:tabs>
          <w:tab w:leader="none" w:pos="1240" w:val="left"/>
        </w:tabs>
        <w:numPr>
          <w:ilvl w:val="2"/>
          <w:numId w:val="195"/>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291" w:name="page292"/>
    <w:bookmarkEnd w:id="291"/>
    <w:p>
      <w:pPr>
        <w:ind w:left="-40" w:right="40" w:firstLine="987"/>
        <w:spacing w:after="0" w:line="269" w:lineRule="auto"/>
        <w:tabs>
          <w:tab w:leader="none" w:pos="1176" w:val="left"/>
        </w:tabs>
        <w:numPr>
          <w:ilvl w:val="0"/>
          <w:numId w:val="196"/>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Arial" w:cs="Arial" w:eastAsia="Arial" w:hAnsi="Arial"/>
          <w:sz w:val="17"/>
          <w:szCs w:val="17"/>
          <w:color w:val="auto"/>
        </w:rPr>
        <w:t xml:space="preserve">. Executive agrees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mutually selected by the Company and Executive. This means that disputes will be decided by an arbitrator rather than a court or jury, and that both Executive and the Company waive their respective rights to a court or jury trial. Judgment on the arbitration award may be entered in any court having jurisdiction. Nothing herein shall prevent either Party from pursuing injunctive relief in court (without having to post a bond) to avoid irreparable harm pending completion of any arbitration. Within twenty (20) days of the conclusion of the arbitration hearing, the arbitrator shall prepare written findings of fact and conclusions of law. Each party shall bear its own costs and attorneys’ fees in connection with arbitration;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pay all costs unique to arbitration, including the arbitrator’s fees and costs, that Executive would not be required to pay if the claim was in court. Executive shall be entitled to recover reasonable attorneys’ fees and costs incurred by Executive in any arbitration Executive initiates to enforce Executive’s rights under this Agreement and in which Executive is deemed to be the prevailing party.</w:t>
      </w:r>
    </w:p>
    <w:p>
      <w:pPr>
        <w:spacing w:after="0" w:line="73" w:lineRule="exact"/>
        <w:rPr>
          <w:rFonts w:ascii="Arial" w:cs="Arial" w:eastAsia="Arial" w:hAnsi="Arial"/>
          <w:sz w:val="17"/>
          <w:szCs w:val="17"/>
          <w:b w:val="1"/>
          <w:bCs w:val="1"/>
          <w:color w:val="auto"/>
        </w:rPr>
      </w:pPr>
    </w:p>
    <w:p>
      <w:pPr>
        <w:ind w:left="-40" w:right="20" w:firstLine="987"/>
        <w:spacing w:after="0" w:line="255" w:lineRule="auto"/>
        <w:tabs>
          <w:tab w:leader="none" w:pos="1206" w:val="left"/>
        </w:tabs>
        <w:numPr>
          <w:ilvl w:val="0"/>
          <w:numId w:val="196"/>
        </w:numPr>
        <w:rPr>
          <w:rFonts w:ascii="Arial" w:cs="Arial" w:eastAsia="Arial" w:hAnsi="Arial"/>
          <w:sz w:val="18"/>
          <w:szCs w:val="18"/>
          <w:b w:val="1"/>
          <w:bCs w:val="1"/>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4" w:lineRule="exact"/>
        <w:rPr>
          <w:rFonts w:ascii="Arial" w:cs="Arial" w:eastAsia="Arial" w:hAnsi="Arial"/>
          <w:sz w:val="18"/>
          <w:szCs w:val="18"/>
          <w:b w:val="1"/>
          <w:bCs w:val="1"/>
          <w:color w:val="auto"/>
        </w:rPr>
      </w:pPr>
    </w:p>
    <w:p>
      <w:pPr>
        <w:ind w:left="-40" w:firstLine="987"/>
        <w:spacing w:after="0" w:line="301" w:lineRule="auto"/>
        <w:tabs>
          <w:tab w:leader="none" w:pos="1216" w:val="left"/>
        </w:tabs>
        <w:numPr>
          <w:ilvl w:val="0"/>
          <w:numId w:val="196"/>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of this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49" w:lineRule="exact"/>
        <w:rPr>
          <w:rFonts w:ascii="Arial" w:cs="Arial" w:eastAsia="Arial" w:hAnsi="Arial"/>
          <w:sz w:val="16"/>
          <w:szCs w:val="16"/>
          <w:b w:val="1"/>
          <w:bCs w:val="1"/>
          <w:color w:val="auto"/>
        </w:rPr>
      </w:pPr>
    </w:p>
    <w:p>
      <w:pPr>
        <w:ind w:left="-40" w:right="500" w:firstLine="987"/>
        <w:spacing w:after="0" w:line="277" w:lineRule="auto"/>
        <w:tabs>
          <w:tab w:leader="none" w:pos="1166" w:val="left"/>
        </w:tabs>
        <w:numPr>
          <w:ilvl w:val="0"/>
          <w:numId w:val="196"/>
        </w:numPr>
        <w:rPr>
          <w:rFonts w:ascii="Arial" w:cs="Arial" w:eastAsia="Arial" w:hAnsi="Arial"/>
          <w:sz w:val="18"/>
          <w:szCs w:val="18"/>
          <w:b w:val="1"/>
          <w:bCs w:val="1"/>
          <w:color w:val="auto"/>
        </w:rPr>
      </w:pPr>
      <w:r>
        <w:rPr>
          <w:rFonts w:ascii="Arial" w:cs="Arial" w:eastAsia="Arial" w:hAnsi="Arial"/>
          <w:sz w:val="18"/>
          <w:szCs w:val="18"/>
          <w:u w:val="single" w:color="auto"/>
          <w:color w:val="auto"/>
        </w:rPr>
        <w:t>Prior Agreement</w:t>
      </w:r>
      <w:r>
        <w:rPr>
          <w:rFonts w:ascii="Arial" w:cs="Arial" w:eastAsia="Arial" w:hAnsi="Arial"/>
          <w:sz w:val="18"/>
          <w:szCs w:val="18"/>
          <w:color w:val="auto"/>
        </w:rPr>
        <w:t>. This Agreement supersedes the Prior Agreement and all prior or contemporaneous agreements and statements, whether written or oral, concerning the terms of Executive’s employment with the Company.</w:t>
      </w:r>
    </w:p>
    <w:p>
      <w:pPr>
        <w:spacing w:after="0" w:line="62" w:lineRule="exact"/>
        <w:rPr>
          <w:rFonts w:ascii="Arial" w:cs="Arial" w:eastAsia="Arial" w:hAnsi="Arial"/>
          <w:sz w:val="18"/>
          <w:szCs w:val="18"/>
          <w:b w:val="1"/>
          <w:bCs w:val="1"/>
          <w:color w:val="auto"/>
        </w:rPr>
      </w:pPr>
    </w:p>
    <w:p>
      <w:pPr>
        <w:ind w:left="-40" w:right="120" w:firstLine="987"/>
        <w:spacing w:after="0" w:line="263" w:lineRule="auto"/>
        <w:tabs>
          <w:tab w:leader="none" w:pos="1176" w:val="left"/>
        </w:tabs>
        <w:numPr>
          <w:ilvl w:val="0"/>
          <w:numId w:val="196"/>
        </w:numPr>
        <w:rPr>
          <w:rFonts w:ascii="Arial" w:cs="Arial" w:eastAsia="Arial" w:hAnsi="Arial"/>
          <w:sz w:val="18"/>
          <w:szCs w:val="18"/>
          <w:b w:val="1"/>
          <w:bCs w:val="1"/>
          <w:color w:val="auto"/>
        </w:rPr>
      </w:pPr>
      <w:r>
        <w:rPr>
          <w:rFonts w:ascii="Arial" w:cs="Arial" w:eastAsia="Arial" w:hAnsi="Arial"/>
          <w:sz w:val="18"/>
          <w:szCs w:val="18"/>
          <w:u w:val="single" w:color="auto"/>
          <w:color w:val="auto"/>
        </w:rPr>
        <w:t>Employee Acknowledgement</w:t>
      </w:r>
      <w:r>
        <w:rPr>
          <w:rFonts w:ascii="Arial" w:cs="Arial" w:eastAsia="Arial" w:hAnsi="Arial"/>
          <w:sz w:val="18"/>
          <w:szCs w:val="18"/>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4" w:right="499" w:bottom="1440" w:gutter="0" w:footer="0" w:header="0"/>
        </w:sectPr>
      </w:pPr>
    </w:p>
    <w:bookmarkStart w:id="292" w:name="page293"/>
    <w:bookmarkEnd w:id="292"/>
    <w:p>
      <w:pPr>
        <w:ind w:left="-380" w:firstLine="987"/>
        <w:spacing w:after="0" w:line="342" w:lineRule="auto"/>
        <w:tabs>
          <w:tab w:leader="none" w:pos="876" w:val="left"/>
        </w:tabs>
        <w:numPr>
          <w:ilvl w:val="0"/>
          <w:numId w:val="197"/>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40"/>
          </w:cols>
          <w:pgMar w:left="820" w:top="274" w:right="839" w:bottom="1440" w:gutter="0" w:footer="0" w:header="0"/>
        </w:sectPr>
      </w:pPr>
    </w:p>
    <w:bookmarkStart w:id="293" w:name="page294"/>
    <w:bookmarkEnd w:id="293"/>
    <w:p>
      <w:pPr>
        <w:jc w:val="right"/>
        <w:ind w:right="117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duly executed this Agreement as of the date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TYRA BIOSCIENCES, INC.</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Bensen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Bensen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 Chief Operating Officer</w:t>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Todd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Todd Harris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Employment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294" w:name="page295"/>
    <w:bookmarkEnd w:id="29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defined terms used in this Appendix I that are not otherwise defined in this Appendix I shall have the meaning ascribed to such terms in the Amended and Restated Employment Agreement to which this Appendix I relates.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Company</w:t>
      </w:r>
      <w:r>
        <w:rPr>
          <w:rFonts w:ascii="Arial" w:cs="Arial" w:eastAsia="Arial" w:hAnsi="Arial"/>
          <w:sz w:val="18"/>
          <w:szCs w:val="18"/>
          <w:color w:val="auto"/>
        </w:rPr>
        <w:t>” shall mean the resulting or surviving corporation, or the company issuing cash or securities (or its ultimate parent company), in a merger consolidation, tender offer or share exchange involving the Company, or the successor corporation to the Company (whether in any such transaction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the occurrence of any one or more of the following events or conditions:</w:t>
      </w:r>
    </w:p>
    <w:p>
      <w:pPr>
        <w:spacing w:after="0" w:line="117" w:lineRule="exact"/>
        <w:rPr>
          <w:sz w:val="20"/>
          <w:szCs w:val="20"/>
          <w:color w:val="auto"/>
        </w:rPr>
      </w:pPr>
    </w:p>
    <w:p>
      <w:pPr>
        <w:ind w:right="300" w:firstLine="1428"/>
        <w:spacing w:after="0" w:line="263" w:lineRule="auto"/>
        <w:tabs>
          <w:tab w:leader="none" w:pos="16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spacing w:after="0" w:line="75" w:lineRule="exact"/>
        <w:rPr>
          <w:rFonts w:ascii="Arial" w:cs="Arial" w:eastAsia="Arial" w:hAnsi="Arial"/>
          <w:sz w:val="18"/>
          <w:szCs w:val="18"/>
          <w:color w:val="auto"/>
        </w:rPr>
      </w:pPr>
    </w:p>
    <w:p>
      <w:pPr>
        <w:ind w:right="140" w:firstLine="1428"/>
        <w:spacing w:after="0" w:line="277" w:lineRule="auto"/>
        <w:tabs>
          <w:tab w:leader="none" w:pos="169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Executive’s dishonesty or other misconduct, if such dishonesty or other misconduct is intended to or likely to materially injure the business or reputation of the Company;</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Executive’s conviction or no contest plea to any misdemeanor involving dishonesty, theft, fraud or moral turpitude,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felony.</w:t>
      </w:r>
    </w:p>
    <w:p>
      <w:pPr>
        <w:spacing w:after="0" w:line="102" w:lineRule="exact"/>
        <w:rPr>
          <w:rFonts w:ascii="Arial" w:cs="Arial" w:eastAsia="Arial" w:hAnsi="Arial"/>
          <w:sz w:val="17"/>
          <w:szCs w:val="17"/>
          <w:color w:val="auto"/>
        </w:rPr>
      </w:pPr>
    </w:p>
    <w:p>
      <w:pPr>
        <w:jc w:val="both"/>
        <w:ind w:right="640" w:firstLine="1428"/>
        <w:spacing w:after="0" w:line="342" w:lineRule="auto"/>
        <w:tabs>
          <w:tab w:leader="none" w:pos="173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Executive’s insobriety or illegal use of drugs, chemicals or controlled substances either (A) in the course of performing Executive’s duties and responsibilities under this Agreement or (B) otherwise materially affecting the ability of Executive to perform the same;</w:t>
      </w:r>
    </w:p>
    <w:p>
      <w:pPr>
        <w:spacing w:after="0" w:line="15" w:lineRule="exact"/>
        <w:rPr>
          <w:rFonts w:ascii="Arial" w:cs="Arial" w:eastAsia="Arial" w:hAnsi="Arial"/>
          <w:sz w:val="16"/>
          <w:szCs w:val="16"/>
          <w:color w:val="auto"/>
        </w:rPr>
      </w:pPr>
    </w:p>
    <w:p>
      <w:pPr>
        <w:ind w:right="480" w:firstLine="1428"/>
        <w:spacing w:after="0" w:line="277" w:lineRule="auto"/>
        <w:tabs>
          <w:tab w:leader="none" w:pos="168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Executive’s material breach of any written agreement with the Company or any of its affiliates or material violation of the Company’s Code of Conduct or any other material written policy of the Company; or</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wanton or willful dereliction of duties by Executive.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 or circumstances:</w:t>
      </w:r>
    </w:p>
    <w:p>
      <w:pPr>
        <w:spacing w:after="0" w:line="117" w:lineRule="exact"/>
        <w:rPr>
          <w:sz w:val="20"/>
          <w:szCs w:val="20"/>
          <w:color w:val="auto"/>
        </w:rPr>
      </w:pPr>
    </w:p>
    <w:p>
      <w:pPr>
        <w:jc w:val="both"/>
        <w:ind w:right="40" w:firstLine="1428"/>
        <w:spacing w:after="0" w:line="275" w:lineRule="auto"/>
        <w:tabs>
          <w:tab w:leader="none" w:pos="164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any “person” (within the meaning of Section 13(d) or 14(d) of the Securities Exchange Act of 1934, as amended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including a “group” within the meaning of such Section 13(d) but excluding the Company and any of its subsidiaries and any employee benefit plan sponsored or maintained by the Company or any subsidiary thereof, shall become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w:t>
      </w:r>
      <w:r>
        <w:rPr>
          <w:rFonts w:ascii="Arial" w:cs="Arial" w:eastAsia="Arial" w:hAnsi="Arial"/>
          <w:sz w:val="17"/>
          <w:szCs w:val="17"/>
          <w:u w:val="single" w:color="auto"/>
          <w:color w:val="auto"/>
        </w:rPr>
        <w:t>Company Voting Securities</w:t>
      </w:r>
      <w:r>
        <w:rPr>
          <w:rFonts w:ascii="Arial" w:cs="Arial" w:eastAsia="Arial" w:hAnsi="Arial"/>
          <w:sz w:val="17"/>
          <w:szCs w:val="17"/>
          <w:color w:val="auto"/>
        </w:rPr>
        <w:t>”);</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I-1</w:t>
      </w:r>
    </w:p>
    <w:p>
      <w:pPr>
        <w:sectPr>
          <w:pgSz w:w="11900" w:h="16838" w:orient="portrait"/>
          <w:cols w:equalWidth="0" w:num="1">
            <w:col w:w="10940"/>
          </w:cols>
          <w:pgMar w:left="440" w:top="270" w:right="519" w:bottom="1440" w:gutter="0" w:footer="0" w:header="0"/>
        </w:sectPr>
      </w:pPr>
    </w:p>
    <w:bookmarkStart w:id="295" w:name="page296"/>
    <w:bookmarkEnd w:id="295"/>
    <w:p>
      <w:pPr>
        <w:ind w:firstLine="1428"/>
        <w:spacing w:after="0" w:line="293" w:lineRule="auto"/>
        <w:tabs>
          <w:tab w:leader="none" w:pos="1697"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 merger or consolidation involving the Company, or the acceptance by the stockholders of the Company of equity securities in a share exchange, where the Persons who were the beneficial owners of the Company Voting Securities outstanding immediately prior to such merger, consolidation or share exchange, do not beneficially own, directly or indirectly, immediately after such merger, consolidation or share exchange, securities representing more than fifty percent (50%) of the combined voting power of the then-outstanding Company Voting Securities or voting securities of the Acquiring Company in such merger, consolidation or share exchange, in substantially the same proportions as their ownership of the Company Voting Securities immediately prior to such merger, consolidation or share exchange;</w:t>
      </w:r>
    </w:p>
    <w:p>
      <w:pPr>
        <w:spacing w:after="0" w:line="56" w:lineRule="exact"/>
        <w:rPr>
          <w:rFonts w:ascii="Arial" w:cs="Arial" w:eastAsia="Arial" w:hAnsi="Arial"/>
          <w:sz w:val="16"/>
          <w:szCs w:val="16"/>
          <w:color w:val="auto"/>
        </w:rPr>
      </w:pPr>
    </w:p>
    <w:p>
      <w:pPr>
        <w:ind w:right="20" w:firstLine="1428"/>
        <w:spacing w:after="0" w:line="275" w:lineRule="auto"/>
        <w:tabs>
          <w:tab w:leader="none" w:pos="174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sale, exchange or other disposition or transfer (in one transaction or a series of related transactions) of all or substantially all of the assets of the Company; provided, however, that a Change in Control shall not be deemed to have occurred where: (x) the Company sells, exchanges or otherwise disposes or transfers all or substantially all of its assets to another Person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expressly assumes this Agreement; or</w:t>
      </w:r>
    </w:p>
    <w:p>
      <w:pPr>
        <w:spacing w:after="0" w:line="68" w:lineRule="exact"/>
        <w:rPr>
          <w:rFonts w:ascii="Arial" w:cs="Arial" w:eastAsia="Arial" w:hAnsi="Arial"/>
          <w:sz w:val="17"/>
          <w:szCs w:val="17"/>
          <w:color w:val="auto"/>
        </w:rPr>
      </w:pPr>
    </w:p>
    <w:p>
      <w:pPr>
        <w:ind w:right="40" w:firstLine="1428"/>
        <w:spacing w:after="0" w:line="291" w:lineRule="auto"/>
        <w:tabs>
          <w:tab w:leader="none" w:pos="173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such time as the Continuing Directors (as defined below) do not constitute at least a majority of the Board (or, if applicable, the board of directors of a successor to the Company), where the term “</w:t>
      </w:r>
      <w:r>
        <w:rPr>
          <w:rFonts w:ascii="Arial" w:cs="Arial" w:eastAsia="Arial" w:hAnsi="Arial"/>
          <w:sz w:val="16"/>
          <w:szCs w:val="16"/>
          <w:u w:val="single" w:color="auto"/>
          <w:color w:val="auto"/>
        </w:rPr>
        <w:t>Continuing Director</w:t>
      </w:r>
      <w:r>
        <w:rPr>
          <w:rFonts w:ascii="Arial" w:cs="Arial" w:eastAsia="Arial" w:hAnsi="Arial"/>
          <w:sz w:val="16"/>
          <w:szCs w:val="16"/>
          <w:color w:val="auto"/>
        </w:rPr>
        <w:t>” means at any date a member of the Board who was: (x) a member of the Board on the Effective Date; or (y)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shall be a Continuing Director).</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shall mean the period commencing three (3) months prior to a Change in Control and ending on the eighteen (18)-month anniversary of the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permanent and total disability within the meaning of Section 22(e) of the Code.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your Annual Base Salary); (ii) a material reduction of Executive’s duties and responsibilities from those in effect on the Effective Date; (iii) the Company’s material breach of this Agreement (other than a reduction of your Annual Base Salary as part of a reduction in the base salaries of all or substantially all other similarly situated employees of the Company that is in the same proportion as the reduction in your Annual Base Salary); or (iv) the permanent, non-voluntary relocation of Executive’s principal place of employment that increases Executive’s one-way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I-2</w:t>
      </w:r>
    </w:p>
    <w:p>
      <w:pPr>
        <w:sectPr>
          <w:pgSz w:w="11900" w:h="16838" w:orient="portrait"/>
          <w:cols w:equalWidth="0" w:num="1">
            <w:col w:w="11020"/>
          </w:cols>
          <w:pgMar w:left="440" w:top="274" w:right="439" w:bottom="1440" w:gutter="0" w:footer="0" w:header="0"/>
        </w:sectPr>
      </w:pPr>
    </w:p>
    <w:bookmarkStart w:id="296" w:name="page297"/>
    <w:bookmarkEnd w:id="29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commute by more than thirty-five (35) miles, provided, that, in each case, Executive will not be deemed to have Good Reason unless (A) Executive first provides the Board with written notice of the condition giving rise to Good Reason within thirty (30)days of its initial occurrence, (B) the Company or the successor company fails to cure such condition within ten (10) days after receiving such written notice (the “</w:t>
      </w:r>
      <w:r>
        <w:rPr>
          <w:rFonts w:ascii="Arial" w:cs="Arial" w:eastAsia="Arial" w:hAnsi="Arial"/>
          <w:sz w:val="17"/>
          <w:szCs w:val="17"/>
          <w:u w:val="single" w:color="auto"/>
          <w:color w:val="auto"/>
        </w:rPr>
        <w:t>Cure Period</w:t>
      </w:r>
      <w:r>
        <w:rPr>
          <w:rFonts w:ascii="Arial" w:cs="Arial" w:eastAsia="Arial" w:hAnsi="Arial"/>
          <w:sz w:val="17"/>
          <w:szCs w:val="17"/>
          <w:color w:val="auto"/>
        </w:rPr>
        <w:t>”), and (C) Executive’s resignation based on such Good Reason is effective within thirty (30)days after the expiration of the Cure Period.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shall mean Executive’s termination (A) by the Company without Cause, (B) by Executive for Good Reason, (C) due to death or (D) due to Disability.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limited liability corporation, partnership, or other business entity.</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Appendix I-3</w:t>
      </w:r>
    </w:p>
    <w:p>
      <w:pPr>
        <w:sectPr>
          <w:pgSz w:w="11900" w:h="16838" w:orient="portrait"/>
          <w:cols w:equalWidth="0" w:num="1">
            <w:col w:w="10960"/>
          </w:cols>
          <w:pgMar w:left="440" w:top="274" w:right="49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i w:val="1"/>
          <w:iCs w:val="1"/>
          <w:color w:val="auto"/>
        </w:rPr>
        <w:t>Exhibit 10.6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9"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This Amended and Restated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this 6th day of January,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Tyra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Dan Bensen (“</w:t>
      </w:r>
      <w:r>
        <w:rPr>
          <w:rFonts w:ascii="Arial" w:cs="Arial" w:eastAsia="Arial" w:hAnsi="Arial"/>
          <w:sz w:val="17"/>
          <w:szCs w:val="17"/>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Capitalized terms used herein and not otherwise defined shall have those meanings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 xml:space="preserve"> hereto.</w:t>
      </w:r>
    </w:p>
    <w:p>
      <w:pPr>
        <w:spacing w:after="0" w:line="161" w:lineRule="exact"/>
        <w:rPr>
          <w:sz w:val="20"/>
          <w:szCs w:val="20"/>
          <w:color w:val="auto"/>
        </w:rPr>
      </w:pPr>
    </w:p>
    <w:p>
      <w:pPr>
        <w:ind w:right="8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are parties to that certain Employment Agreement dated as of November 5, 2018 (the “</w:t>
      </w:r>
      <w:r>
        <w:rPr>
          <w:rFonts w:ascii="Arial" w:cs="Arial" w:eastAsia="Arial" w:hAnsi="Arial"/>
          <w:sz w:val="18"/>
          <w:szCs w:val="18"/>
          <w:u w:val="single" w:color="auto"/>
          <w:color w:val="auto"/>
        </w:rPr>
        <w:t>Prior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desire to amend the terms of the Employee’s employment with the Company as reflected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amending and restating the Prior Agreement.</w:t>
      </w:r>
    </w:p>
    <w:p>
      <w:pPr>
        <w:spacing w:after="0" w:line="162"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140" w:lineRule="exact"/>
        <w:rPr>
          <w:sz w:val="20"/>
          <w:szCs w:val="20"/>
          <w:color w:val="auto"/>
        </w:rPr>
      </w:pPr>
    </w:p>
    <w:p>
      <w:pPr>
        <w:ind w:left="620" w:hanging="184"/>
        <w:spacing w:after="0"/>
        <w:tabs>
          <w:tab w:leader="none" w:pos="62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201"/>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employ Executive upon the terms and conditions provided herein effective as of the Effective Date.</w:t>
      </w:r>
    </w:p>
    <w:p>
      <w:pPr>
        <w:spacing w:after="0" w:line="128" w:lineRule="exact"/>
        <w:rPr>
          <w:rFonts w:ascii="Arial" w:cs="Arial" w:eastAsia="Arial" w:hAnsi="Arial"/>
          <w:sz w:val="17"/>
          <w:szCs w:val="17"/>
          <w:b w:val="1"/>
          <w:bCs w:val="1"/>
          <w:color w:val="auto"/>
        </w:rPr>
      </w:pPr>
    </w:p>
    <w:p>
      <w:pPr>
        <w:ind w:right="200" w:firstLine="987"/>
        <w:spacing w:after="0" w:line="255" w:lineRule="auto"/>
        <w:tabs>
          <w:tab w:leader="none" w:pos="1256" w:val="left"/>
        </w:tabs>
        <w:numPr>
          <w:ilvl w:val="1"/>
          <w:numId w:val="201"/>
        </w:numPr>
        <w:rPr>
          <w:rFonts w:ascii="Arial" w:cs="Arial" w:eastAsia="Arial" w:hAnsi="Arial"/>
          <w:sz w:val="18"/>
          <w:szCs w:val="18"/>
          <w:b w:val="1"/>
          <w:bCs w:val="1"/>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on the Effective Date, Executive shall serve as the Company’s Chief Operating Officer (“</w:t>
      </w:r>
      <w:r>
        <w:rPr>
          <w:rFonts w:ascii="Arial" w:cs="Arial" w:eastAsia="Arial" w:hAnsi="Arial"/>
          <w:sz w:val="18"/>
          <w:szCs w:val="18"/>
          <w:u w:val="single" w:color="auto"/>
          <w:color w:val="auto"/>
        </w:rPr>
        <w:t>COO</w:t>
      </w:r>
      <w:r>
        <w:rPr>
          <w:rFonts w:ascii="Arial" w:cs="Arial" w:eastAsia="Arial" w:hAnsi="Arial"/>
          <w:sz w:val="18"/>
          <w:szCs w:val="18"/>
          <w:color w:val="auto"/>
        </w:rPr>
        <w:t>”), with responsibilities, duties, and authority usual and customary for such position subject to direction by the Chief Executive Officer (the “</w:t>
      </w:r>
      <w:r>
        <w:rPr>
          <w:rFonts w:ascii="Arial" w:cs="Arial" w:eastAsia="Arial" w:hAnsi="Arial"/>
          <w:sz w:val="18"/>
          <w:szCs w:val="18"/>
          <w:u w:val="single" w:color="auto"/>
          <w:color w:val="auto"/>
        </w:rPr>
        <w:t>CEO</w:t>
      </w:r>
      <w:r>
        <w:rPr>
          <w:rFonts w:ascii="Arial" w:cs="Arial" w:eastAsia="Arial" w:hAnsi="Arial"/>
          <w:sz w:val="18"/>
          <w:szCs w:val="18"/>
          <w:color w:val="auto"/>
        </w:rPr>
        <w:t>”). During Executive’s employment with the Company, Executive shall report directly to the CEO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84" w:lineRule="exact"/>
        <w:rPr>
          <w:rFonts w:ascii="Arial" w:cs="Arial" w:eastAsia="Arial" w:hAnsi="Arial"/>
          <w:sz w:val="18"/>
          <w:szCs w:val="18"/>
          <w:b w:val="1"/>
          <w:bCs w:val="1"/>
          <w:color w:val="auto"/>
        </w:rPr>
      </w:pPr>
    </w:p>
    <w:p>
      <w:pPr>
        <w:ind w:right="80" w:firstLine="987"/>
        <w:spacing w:after="0" w:line="254" w:lineRule="auto"/>
        <w:tabs>
          <w:tab w:leader="none" w:pos="1236" w:val="left"/>
        </w:tabs>
        <w:numPr>
          <w:ilvl w:val="1"/>
          <w:numId w:val="201"/>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Executive’s Duties</w:t>
      </w:r>
      <w:r>
        <w:rPr>
          <w:rFonts w:ascii="Arial" w:cs="Arial" w:eastAsia="Arial" w:hAnsi="Arial"/>
          <w:sz w:val="18"/>
          <w:szCs w:val="18"/>
          <w:color w:val="auto"/>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CEO; provided that nothing herein shall preclude Executive from, subject to prior consent of the CEO: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 do not individually or in the aggregate interfere with the performance of Executive’s duties under this Agreement, violate the Company’s standards of conduct then in effect or raise a conflict under the Company’s conflict of interest policies.</w:t>
      </w:r>
    </w:p>
    <w:p>
      <w:pPr>
        <w:sectPr>
          <w:pgSz w:w="11900" w:h="16838" w:orient="portrait"/>
          <w:cols w:equalWidth="0" w:num="1">
            <w:col w:w="11020"/>
          </w:cols>
          <w:pgMar w:left="440" w:top="125" w:right="439" w:bottom="1440" w:gutter="0" w:footer="0" w:header="0"/>
        </w:sectPr>
      </w:pPr>
    </w:p>
    <w:bookmarkStart w:id="298" w:name="page299"/>
    <w:bookmarkEnd w:id="298"/>
    <w:p>
      <w:pPr>
        <w:ind w:left="-40" w:right="40" w:firstLine="436"/>
        <w:spacing w:after="0" w:line="266" w:lineRule="auto"/>
        <w:tabs>
          <w:tab w:leader="none" w:pos="5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r>
        <w:rPr>
          <w:rFonts w:ascii="Arial" w:cs="Arial" w:eastAsia="Arial" w:hAnsi="Arial"/>
          <w:sz w:val="18"/>
          <w:szCs w:val="18"/>
          <w:color w:val="auto"/>
        </w:rPr>
        <w:t>. The period of Executive’s employment under this Agreement shall commence on the Effective Date and shall continue until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The phrase “</w:t>
      </w:r>
      <w:r>
        <w:rPr>
          <w:rFonts w:ascii="Arial" w:cs="Arial" w:eastAsia="Arial" w:hAnsi="Arial"/>
          <w:sz w:val="18"/>
          <w:szCs w:val="18"/>
          <w:u w:val="single" w:color="auto"/>
          <w:color w:val="auto"/>
        </w:rPr>
        <w:t>Term of Employment</w:t>
      </w:r>
      <w:r>
        <w:rPr>
          <w:rFonts w:ascii="Arial" w:cs="Arial" w:eastAsia="Arial" w:hAnsi="Arial"/>
          <w:sz w:val="18"/>
          <w:szCs w:val="18"/>
          <w:color w:val="auto"/>
        </w:rPr>
        <w:t>” as used in this Agreement shall refer to the entire period of employment of Executive by the Company.</w:t>
      </w:r>
    </w:p>
    <w:p>
      <w:pPr>
        <w:spacing w:after="0" w:line="67" w:lineRule="exact"/>
        <w:rPr>
          <w:rFonts w:ascii="Arial" w:cs="Arial" w:eastAsia="Arial" w:hAnsi="Arial"/>
          <w:sz w:val="18"/>
          <w:szCs w:val="18"/>
          <w:b w:val="1"/>
          <w:bCs w:val="1"/>
          <w:color w:val="auto"/>
        </w:rPr>
      </w:pPr>
    </w:p>
    <w:p>
      <w:pPr>
        <w:ind w:left="580" w:hanging="184"/>
        <w:spacing w:after="0"/>
        <w:tabs>
          <w:tab w:leader="none" w:pos="5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0" w:firstLine="987"/>
        <w:spacing w:after="0" w:line="279" w:lineRule="auto"/>
        <w:tabs>
          <w:tab w:leader="none" w:pos="1206" w:val="left"/>
        </w:tabs>
        <w:numPr>
          <w:ilvl w:val="1"/>
          <w:numId w:val="202"/>
        </w:numPr>
        <w:rPr>
          <w:rFonts w:ascii="Arial" w:cs="Arial" w:eastAsia="Arial" w:hAnsi="Arial"/>
          <w:sz w:val="17"/>
          <w:szCs w:val="17"/>
          <w:b w:val="1"/>
          <w:bCs w:val="1"/>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Executive shall receive a base salary at the rate of $250,000 per annum (as may be increased from time to time,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 subject to withholdings and deductions, which shall be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not less than annually, and may be increased, but not decreased, in connection with any such review.</w:t>
      </w:r>
    </w:p>
    <w:p>
      <w:pPr>
        <w:spacing w:after="0" w:line="63" w:lineRule="exact"/>
        <w:rPr>
          <w:rFonts w:ascii="Arial" w:cs="Arial" w:eastAsia="Arial" w:hAnsi="Arial"/>
          <w:sz w:val="17"/>
          <w:szCs w:val="17"/>
          <w:b w:val="1"/>
          <w:bCs w:val="1"/>
          <w:color w:val="auto"/>
        </w:rPr>
      </w:pPr>
    </w:p>
    <w:p>
      <w:pPr>
        <w:jc w:val="both"/>
        <w:ind w:left="-40" w:right="80" w:firstLine="987"/>
        <w:spacing w:after="0" w:line="259" w:lineRule="auto"/>
        <w:tabs>
          <w:tab w:leader="none" w:pos="1216" w:val="left"/>
        </w:tabs>
        <w:numPr>
          <w:ilvl w:val="1"/>
          <w:numId w:val="202"/>
        </w:numPr>
        <w:rPr>
          <w:rFonts w:ascii="Arial" w:cs="Arial" w:eastAsia="Arial" w:hAnsi="Arial"/>
          <w:sz w:val="18"/>
          <w:szCs w:val="18"/>
          <w:b w:val="1"/>
          <w:bCs w:val="1"/>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Executive shall be eligible to receive a discretionary annual bonus based on Executive’s achievement of performance objectives as mutually agreed between Executive and the CEO, such bonus target to be equal to 30% of Executive’s Annual Base Salary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Any Annual Bonus earned will be paid at the same time annual bonuses are paid to other executives of the Company generally, subject to any limitations on payment as set forth in Section 6.</w:t>
      </w:r>
    </w:p>
    <w:p>
      <w:pPr>
        <w:spacing w:after="0" w:line="78" w:lineRule="exact"/>
        <w:rPr>
          <w:rFonts w:ascii="Arial" w:cs="Arial" w:eastAsia="Arial" w:hAnsi="Arial"/>
          <w:sz w:val="18"/>
          <w:szCs w:val="18"/>
          <w:b w:val="1"/>
          <w:bCs w:val="1"/>
          <w:color w:val="auto"/>
        </w:rPr>
      </w:pPr>
    </w:p>
    <w:p>
      <w:pPr>
        <w:ind w:left="-40" w:right="140" w:firstLine="987"/>
        <w:spacing w:after="0" w:line="286" w:lineRule="auto"/>
        <w:tabs>
          <w:tab w:leader="none" w:pos="1196" w:val="left"/>
        </w:tabs>
        <w:numPr>
          <w:ilvl w:val="1"/>
          <w:numId w:val="202"/>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57" w:lineRule="exact"/>
        <w:rPr>
          <w:rFonts w:ascii="Arial" w:cs="Arial" w:eastAsia="Arial" w:hAnsi="Arial"/>
          <w:sz w:val="17"/>
          <w:szCs w:val="17"/>
          <w:b w:val="1"/>
          <w:bCs w:val="1"/>
          <w:color w:val="auto"/>
        </w:rPr>
      </w:pPr>
    </w:p>
    <w:p>
      <w:pPr>
        <w:ind w:left="-40" w:right="160" w:firstLine="987"/>
        <w:spacing w:after="0" w:line="263" w:lineRule="auto"/>
        <w:tabs>
          <w:tab w:leader="none" w:pos="1216" w:val="left"/>
        </w:tabs>
        <w:numPr>
          <w:ilvl w:val="1"/>
          <w:numId w:val="202"/>
        </w:numPr>
        <w:rPr>
          <w:rFonts w:ascii="Arial" w:cs="Arial" w:eastAsia="Arial" w:hAnsi="Arial"/>
          <w:sz w:val="18"/>
          <w:szCs w:val="18"/>
          <w:b w:val="1"/>
          <w:bCs w:val="1"/>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75" w:lineRule="exact"/>
        <w:rPr>
          <w:rFonts w:ascii="Arial" w:cs="Arial" w:eastAsia="Arial" w:hAnsi="Arial"/>
          <w:sz w:val="18"/>
          <w:szCs w:val="18"/>
          <w:b w:val="1"/>
          <w:bCs w:val="1"/>
          <w:color w:val="auto"/>
        </w:rPr>
      </w:pPr>
    </w:p>
    <w:p>
      <w:pPr>
        <w:ind w:left="-40" w:right="60" w:firstLine="987"/>
        <w:spacing w:after="0" w:line="277" w:lineRule="auto"/>
        <w:tabs>
          <w:tab w:leader="none" w:pos="1196" w:val="left"/>
        </w:tabs>
        <w:numPr>
          <w:ilvl w:val="1"/>
          <w:numId w:val="202"/>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not less than fifteen (15) business days of paid vacation each calendar year, pro-rated for partial calendar years of service, which may be taken in accordance with the Company’s vacation policy.</w:t>
      </w:r>
    </w:p>
    <w:p>
      <w:pPr>
        <w:spacing w:after="0" w:line="62" w:lineRule="exact"/>
        <w:rPr>
          <w:rFonts w:ascii="Arial" w:cs="Arial" w:eastAsia="Arial" w:hAnsi="Arial"/>
          <w:sz w:val="18"/>
          <w:szCs w:val="18"/>
          <w:b w:val="1"/>
          <w:bCs w:val="1"/>
          <w:color w:val="auto"/>
        </w:rPr>
      </w:pPr>
    </w:p>
    <w:p>
      <w:pPr>
        <w:ind w:left="1180" w:hanging="233"/>
        <w:spacing w:after="0"/>
        <w:tabs>
          <w:tab w:leader="none" w:pos="1180" w:val="left"/>
        </w:tabs>
        <w:numPr>
          <w:ilvl w:val="1"/>
          <w:numId w:val="202"/>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shall be eligible to receive grants of equity awards in the Company’s sole discretion.</w:t>
      </w:r>
    </w:p>
    <w:p>
      <w:pPr>
        <w:spacing w:after="0" w:line="117" w:lineRule="exact"/>
        <w:rPr>
          <w:rFonts w:ascii="Arial" w:cs="Arial" w:eastAsia="Arial" w:hAnsi="Arial"/>
          <w:sz w:val="18"/>
          <w:szCs w:val="18"/>
          <w:b w:val="1"/>
          <w:bCs w:val="1"/>
          <w:color w:val="auto"/>
        </w:rPr>
      </w:pPr>
    </w:p>
    <w:p>
      <w:pPr>
        <w:jc w:val="both"/>
        <w:ind w:left="-40" w:right="20" w:firstLine="987"/>
        <w:spacing w:after="0" w:line="263" w:lineRule="auto"/>
        <w:tabs>
          <w:tab w:leader="none" w:pos="1206" w:val="left"/>
        </w:tabs>
        <w:numPr>
          <w:ilvl w:val="1"/>
          <w:numId w:val="202"/>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Agreement; Insurance</w:t>
      </w:r>
      <w:r>
        <w:rPr>
          <w:rFonts w:ascii="Arial" w:cs="Arial" w:eastAsia="Arial" w:hAnsi="Arial"/>
          <w:sz w:val="18"/>
          <w:szCs w:val="18"/>
          <w:color w:val="auto"/>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0" w:right="499" w:bottom="1440" w:gutter="0" w:footer="0" w:header="0"/>
        </w:sectPr>
      </w:pPr>
    </w:p>
    <w:bookmarkStart w:id="299" w:name="page300"/>
    <w:bookmarkEnd w:id="299"/>
    <w:p>
      <w:pPr>
        <w:ind w:left="4" w:right="40" w:firstLine="436"/>
        <w:spacing w:after="0" w:line="270" w:lineRule="auto"/>
        <w:tabs>
          <w:tab w:leader="none" w:pos="624" w:val="left"/>
        </w:tabs>
        <w:numPr>
          <w:ilvl w:val="1"/>
          <w:numId w:val="2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Acceleration of Equity Awards Upon a Change in Control</w:t>
      </w:r>
      <w:r>
        <w:rPr>
          <w:rFonts w:ascii="Arial" w:cs="Arial" w:eastAsia="Arial" w:hAnsi="Arial"/>
          <w:sz w:val="17"/>
          <w:szCs w:val="17"/>
          <w:color w:val="auto"/>
        </w:rPr>
        <w:t>. Notwithstanding anything herein to the contrary, in the event of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vesting of Executive’s then outstanding options, restricted stock and other equity awards covering shares of the Company’s common stock (collectively, “</w:t>
      </w:r>
      <w:r>
        <w:rPr>
          <w:rFonts w:ascii="Arial" w:cs="Arial" w:eastAsia="Arial" w:hAnsi="Arial"/>
          <w:sz w:val="17"/>
          <w:szCs w:val="17"/>
          <w:u w:val="single" w:color="auto"/>
          <w:color w:val="auto"/>
        </w:rPr>
        <w:t>Equity Awards</w:t>
      </w:r>
      <w:r>
        <w:rPr>
          <w:rFonts w:ascii="Arial" w:cs="Arial" w:eastAsia="Arial" w:hAnsi="Arial"/>
          <w:sz w:val="17"/>
          <w:szCs w:val="17"/>
          <w:color w:val="auto"/>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68" w:lineRule="exact"/>
        <w:rPr>
          <w:rFonts w:ascii="Arial" w:cs="Arial" w:eastAsia="Arial" w:hAnsi="Arial"/>
          <w:sz w:val="17"/>
          <w:szCs w:val="17"/>
          <w:b w:val="1"/>
          <w:bCs w:val="1"/>
          <w:color w:val="auto"/>
        </w:rPr>
      </w:pPr>
    </w:p>
    <w:p>
      <w:pPr>
        <w:ind w:left="624" w:hanging="184"/>
        <w:spacing w:after="0"/>
        <w:tabs>
          <w:tab w:leader="none" w:pos="624"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290" w:lineRule="auto"/>
        <w:tabs>
          <w:tab w:leader="none" w:pos="1250" w:val="left"/>
        </w:tabs>
        <w:numPr>
          <w:ilvl w:val="2"/>
          <w:numId w:val="203"/>
        </w:numPr>
        <w:rPr>
          <w:rFonts w:ascii="Arial" w:cs="Arial" w:eastAsia="Arial" w:hAnsi="Arial"/>
          <w:sz w:val="16"/>
          <w:szCs w:val="16"/>
          <w:b w:val="1"/>
          <w:bCs w:val="1"/>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CEO. If Executive’s employment terminates for any lawful reason, Executive shall not be entitled to any payments, benefits, Equity Awards or other compensation other than as provided in this Agreement.</w:t>
      </w:r>
    </w:p>
    <w:p>
      <w:pPr>
        <w:spacing w:after="0" w:line="57" w:lineRule="exact"/>
        <w:rPr>
          <w:rFonts w:ascii="Arial" w:cs="Arial" w:eastAsia="Arial" w:hAnsi="Arial"/>
          <w:sz w:val="16"/>
          <w:szCs w:val="16"/>
          <w:b w:val="1"/>
          <w:bCs w:val="1"/>
          <w:color w:val="auto"/>
        </w:rPr>
      </w:pPr>
    </w:p>
    <w:p>
      <w:pPr>
        <w:ind w:left="4" w:right="20" w:firstLine="987"/>
        <w:spacing w:after="0" w:line="291" w:lineRule="auto"/>
        <w:tabs>
          <w:tab w:leader="none" w:pos="1260" w:val="left"/>
        </w:tabs>
        <w:numPr>
          <w:ilvl w:val="2"/>
          <w:numId w:val="203"/>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During the Term of Employment, any termination of Executive’s employment by the Company or by Executive (other than by reason of death) shall be communicated by written notice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from one Party hereto to the other Party hereto</w:t>
      </w:r>
    </w:p>
    <w:p>
      <w:pPr>
        <w:ind w:left="4" w:hanging="4"/>
        <w:spacing w:after="0" w:line="269" w:lineRule="auto"/>
        <w:tabs>
          <w:tab w:leader="none" w:pos="21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00" w:name="page301"/>
    <w:bookmarkEnd w:id="300"/>
    <w:p>
      <w:pPr>
        <w:ind w:left="4" w:right="220" w:firstLine="987"/>
        <w:spacing w:after="0" w:line="263" w:lineRule="auto"/>
        <w:tabs>
          <w:tab w:leader="none" w:pos="1240" w:val="left"/>
        </w:tabs>
        <w:numPr>
          <w:ilvl w:val="2"/>
          <w:numId w:val="205"/>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Resignation</w:t>
      </w:r>
      <w:r>
        <w:rPr>
          <w:rFonts w:ascii="Arial" w:cs="Arial" w:eastAsia="Arial" w:hAnsi="Arial"/>
          <w:sz w:val="18"/>
          <w:szCs w:val="18"/>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71" w:lineRule="exact"/>
        <w:rPr>
          <w:rFonts w:ascii="Arial" w:cs="Arial" w:eastAsia="Arial" w:hAnsi="Arial"/>
          <w:sz w:val="18"/>
          <w:szCs w:val="18"/>
          <w:b w:val="1"/>
          <w:bCs w:val="1"/>
          <w:color w:val="auto"/>
        </w:rPr>
      </w:pPr>
    </w:p>
    <w:p>
      <w:pPr>
        <w:ind w:left="624" w:hanging="184"/>
        <w:spacing w:after="0"/>
        <w:tabs>
          <w:tab w:leader="none" w:pos="624"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Consequences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60" w:firstLine="987"/>
        <w:spacing w:after="0" w:line="311" w:lineRule="auto"/>
        <w:tabs>
          <w:tab w:leader="none" w:pos="1250" w:val="left"/>
        </w:tabs>
        <w:numPr>
          <w:ilvl w:val="2"/>
          <w:numId w:val="206"/>
        </w:numPr>
        <w:rPr>
          <w:rFonts w:ascii="Arial" w:cs="Arial" w:eastAsia="Arial" w:hAnsi="Arial"/>
          <w:sz w:val="16"/>
          <w:szCs w:val="16"/>
          <w:b w:val="1"/>
          <w:bCs w:val="1"/>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the event Executive’s employment with the Company terminates pursuant to Section 5, then Executive shall be entitled to the applicable payments and benefits set forth below subject to Executive delivering to the Company a waiver and release of claims agreement in standard reasonable form approved by the Company that becomes effective and irrevocable in accordance with Section 7 hereof (a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40" w:lineRule="exact"/>
        <w:rPr>
          <w:rFonts w:ascii="Arial" w:cs="Arial" w:eastAsia="Arial" w:hAnsi="Arial"/>
          <w:sz w:val="16"/>
          <w:szCs w:val="16"/>
          <w:b w:val="1"/>
          <w:bCs w:val="1"/>
          <w:color w:val="auto"/>
        </w:rPr>
      </w:pPr>
    </w:p>
    <w:p>
      <w:pPr>
        <w:ind w:left="4" w:right="40" w:firstLine="987"/>
        <w:spacing w:after="0" w:line="285" w:lineRule="auto"/>
        <w:tabs>
          <w:tab w:leader="none" w:pos="1260" w:val="left"/>
        </w:tabs>
        <w:numPr>
          <w:ilvl w:val="2"/>
          <w:numId w:val="206"/>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Payments upon Termination by the Company for Cause or by Executive Without Good Reason</w:t>
      </w:r>
      <w:r>
        <w:rPr>
          <w:rFonts w:ascii="Arial" w:cs="Arial" w:eastAsia="Arial" w:hAnsi="Arial"/>
          <w:sz w:val="16"/>
          <w:szCs w:val="16"/>
          <w:color w:val="auto"/>
        </w:rPr>
        <w:t>. Upon a termination of Executive’s employment with the Company at any time for Cause, Executive (or Executive’s estate or legal representative, as applicable) shall be entitled to receive, within thirty (30) days of the effective date of termination of employment with the Company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3(e) above; and</w:t>
      </w:r>
    </w:p>
    <w:p>
      <w:pPr>
        <w:spacing w:after="0" w:line="1" w:lineRule="exact"/>
        <w:rPr>
          <w:rFonts w:ascii="Arial" w:cs="Arial" w:eastAsia="Arial" w:hAnsi="Arial"/>
          <w:sz w:val="16"/>
          <w:szCs w:val="16"/>
          <w:b w:val="1"/>
          <w:bCs w:val="1"/>
          <w:color w:val="auto"/>
        </w:rPr>
      </w:pPr>
    </w:p>
    <w:p>
      <w:pPr>
        <w:ind w:left="4" w:right="40" w:hanging="4"/>
        <w:spacing w:after="0" w:line="252" w:lineRule="auto"/>
        <w:tabs>
          <w:tab w:leader="none" w:pos="31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accrued but unused paid time-off owed to Executive ((i)-(iii) defined as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 Any termination of employment by Executive without Good Reason shall be deemed, and shall be treated as, a termination for “Cause”, and accordingly, the Company shall only be obligated to pay to Executive the amounts described in this Section 6(b).</w:t>
      </w:r>
    </w:p>
    <w:p>
      <w:pPr>
        <w:spacing w:after="0" w:line="85" w:lineRule="exact"/>
        <w:rPr>
          <w:rFonts w:ascii="Arial" w:cs="Arial" w:eastAsia="Arial" w:hAnsi="Arial"/>
          <w:sz w:val="18"/>
          <w:szCs w:val="18"/>
          <w:color w:val="auto"/>
        </w:rPr>
      </w:pPr>
    </w:p>
    <w:p>
      <w:pPr>
        <w:ind w:left="4" w:right="580" w:firstLine="987"/>
        <w:spacing w:after="0" w:line="342" w:lineRule="auto"/>
        <w:tabs>
          <w:tab w:leader="none" w:pos="1240" w:val="left"/>
        </w:tabs>
        <w:numPr>
          <w:ilvl w:val="2"/>
          <w:numId w:val="207"/>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Outside a Change in Control Period</w:t>
      </w:r>
      <w:r>
        <w:rPr>
          <w:rFonts w:ascii="Arial" w:cs="Arial" w:eastAsia="Arial" w:hAnsi="Arial"/>
          <w:sz w:val="16"/>
          <w:szCs w:val="16"/>
          <w:color w:val="auto"/>
        </w:rPr>
        <w:t>. If, outside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4" w:hanging="212"/>
        <w:spacing w:after="0"/>
        <w:tabs>
          <w:tab w:leader="none" w:pos="1644" w:val="left"/>
        </w:tabs>
        <w:numPr>
          <w:ilvl w:val="3"/>
          <w:numId w:val="207"/>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4" w:right="360" w:firstLine="1428"/>
        <w:spacing w:after="0" w:line="277" w:lineRule="auto"/>
        <w:tabs>
          <w:tab w:leader="none" w:pos="1701" w:val="left"/>
        </w:tabs>
        <w:numPr>
          <w:ilvl w:val="3"/>
          <w:numId w:val="207"/>
        </w:numPr>
        <w:rPr>
          <w:rFonts w:ascii="Arial" w:cs="Arial" w:eastAsia="Arial" w:hAnsi="Arial"/>
          <w:sz w:val="18"/>
          <w:szCs w:val="18"/>
          <w:b w:val="1"/>
          <w:bCs w:val="1"/>
          <w:color w:val="auto"/>
        </w:rPr>
      </w:pPr>
      <w:r>
        <w:rPr>
          <w:rFonts w:ascii="Arial" w:cs="Arial" w:eastAsia="Arial" w:hAnsi="Arial"/>
          <w:sz w:val="18"/>
          <w:szCs w:val="18"/>
          <w:color w:val="auto"/>
        </w:rPr>
        <w:t>an amount in cash equal to (A) twelve months of Executive’s Annual Base Salary plus (B) Executive’s target Annual Bonus, pro-rated based on the total number of days elapsed in the calendar year as of Executive’s Date of Termination;</w:t>
      </w:r>
    </w:p>
    <w:p>
      <w:pPr>
        <w:spacing w:after="0" w:line="62" w:lineRule="exact"/>
        <w:rPr>
          <w:rFonts w:ascii="Arial" w:cs="Arial" w:eastAsia="Arial" w:hAnsi="Arial"/>
          <w:sz w:val="18"/>
          <w:szCs w:val="18"/>
          <w:b w:val="1"/>
          <w:bCs w:val="1"/>
          <w:color w:val="auto"/>
        </w:rPr>
      </w:pPr>
    </w:p>
    <w:p>
      <w:pPr>
        <w:jc w:val="both"/>
        <w:ind w:left="4" w:firstLine="1428"/>
        <w:spacing w:after="0" w:line="263" w:lineRule="auto"/>
        <w:tabs>
          <w:tab w:leader="none" w:pos="1751" w:val="left"/>
        </w:tabs>
        <w:numPr>
          <w:ilvl w:val="3"/>
          <w:numId w:val="207"/>
        </w:numPr>
        <w:rPr>
          <w:rFonts w:ascii="Arial" w:cs="Arial" w:eastAsia="Arial" w:hAnsi="Arial"/>
          <w:sz w:val="18"/>
          <w:szCs w:val="18"/>
          <w:b w:val="1"/>
          <w:bCs w:val="1"/>
          <w:color w:val="auto"/>
        </w:rPr>
      </w:pPr>
      <w:r>
        <w:rPr>
          <w:rFonts w:ascii="Arial" w:cs="Arial" w:eastAsia="Arial" w:hAnsi="Arial"/>
          <w:sz w:val="18"/>
          <w:szCs w:val="18"/>
          <w:color w:val="auto"/>
        </w:rPr>
        <w:t>fifty percent (50%) of the unvested Equity Awards held by the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01" w:name="page302"/>
    <w:bookmarkEnd w:id="301"/>
    <w:p>
      <w:pPr>
        <w:ind w:right="20" w:firstLine="1428"/>
        <w:spacing w:after="0" w:line="287" w:lineRule="auto"/>
        <w:tabs>
          <w:tab w:leader="none" w:pos="1737" w:val="left"/>
        </w:tabs>
        <w:numPr>
          <w:ilvl w:val="1"/>
          <w:numId w:val="20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period commencing on the Date of Termination and ending on the six-month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regulations thereunder (“</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Arial" w:cs="Arial" w:eastAsia="Arial" w:hAnsi="Arial"/>
          <w:sz w:val="16"/>
          <w:szCs w:val="16"/>
          <w:u w:val="single" w:color="auto"/>
          <w:color w:val="auto"/>
        </w:rPr>
        <w:t>Benefits Coverage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63" w:lineRule="exact"/>
        <w:rPr>
          <w:rFonts w:ascii="Arial" w:cs="Arial" w:eastAsia="Arial" w:hAnsi="Arial"/>
          <w:sz w:val="16"/>
          <w:szCs w:val="16"/>
          <w:b w:val="1"/>
          <w:bCs w:val="1"/>
          <w:color w:val="auto"/>
        </w:rPr>
      </w:pPr>
    </w:p>
    <w:p>
      <w:pPr>
        <w:ind w:right="660" w:firstLine="987"/>
        <w:spacing w:after="0" w:line="342" w:lineRule="auto"/>
        <w:tabs>
          <w:tab w:leader="none" w:pos="1256" w:val="left"/>
        </w:tabs>
        <w:numPr>
          <w:ilvl w:val="0"/>
          <w:numId w:val="209"/>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During a Change in Control Period</w:t>
      </w:r>
      <w:r>
        <w:rPr>
          <w:rFonts w:ascii="Arial" w:cs="Arial" w:eastAsia="Arial" w:hAnsi="Arial"/>
          <w:sz w:val="16"/>
          <w:szCs w:val="16"/>
          <w:color w:val="auto"/>
        </w:rPr>
        <w:t>. If, during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0" w:hanging="212"/>
        <w:spacing w:after="0"/>
        <w:tabs>
          <w:tab w:leader="none" w:pos="1640" w:val="left"/>
        </w:tabs>
        <w:numPr>
          <w:ilvl w:val="1"/>
          <w:numId w:val="209"/>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1700" w:hanging="272"/>
        <w:spacing w:after="0"/>
        <w:tabs>
          <w:tab w:leader="none" w:pos="1700" w:val="left"/>
        </w:tabs>
        <w:numPr>
          <w:ilvl w:val="1"/>
          <w:numId w:val="209"/>
        </w:numPr>
        <w:rPr>
          <w:rFonts w:ascii="Arial" w:cs="Arial" w:eastAsia="Arial" w:hAnsi="Arial"/>
          <w:sz w:val="16"/>
          <w:szCs w:val="16"/>
          <w:b w:val="1"/>
          <w:bCs w:val="1"/>
          <w:color w:val="auto"/>
        </w:rPr>
      </w:pPr>
      <w:r>
        <w:rPr>
          <w:rFonts w:ascii="Arial" w:cs="Arial" w:eastAsia="Arial" w:hAnsi="Arial"/>
          <w:sz w:val="16"/>
          <w:szCs w:val="16"/>
          <w:color w:val="auto"/>
        </w:rPr>
        <w:t>an amount in cash equal to (A) eighteen months of Executive’s Annual Base Salary plus (B) Executive’s target Annual Bonus;</w:t>
      </w:r>
    </w:p>
    <w:p>
      <w:pPr>
        <w:spacing w:after="0" w:line="140" w:lineRule="exact"/>
        <w:rPr>
          <w:rFonts w:ascii="Arial" w:cs="Arial" w:eastAsia="Arial" w:hAnsi="Arial"/>
          <w:sz w:val="16"/>
          <w:szCs w:val="16"/>
          <w:b w:val="1"/>
          <w:bCs w:val="1"/>
          <w:color w:val="auto"/>
        </w:rPr>
      </w:pPr>
    </w:p>
    <w:p>
      <w:pPr>
        <w:jc w:val="both"/>
        <w:ind w:right="120" w:firstLine="1428"/>
        <w:spacing w:after="0" w:line="263" w:lineRule="auto"/>
        <w:tabs>
          <w:tab w:leader="none" w:pos="1747" w:val="left"/>
        </w:tabs>
        <w:numPr>
          <w:ilvl w:val="1"/>
          <w:numId w:val="209"/>
        </w:numPr>
        <w:rPr>
          <w:rFonts w:ascii="Arial" w:cs="Arial" w:eastAsia="Arial" w:hAnsi="Arial"/>
          <w:sz w:val="18"/>
          <w:szCs w:val="18"/>
          <w:b w:val="1"/>
          <w:bCs w:val="1"/>
          <w:color w:val="auto"/>
        </w:rPr>
      </w:pPr>
      <w:r>
        <w:rPr>
          <w:rFonts w:ascii="Arial" w:cs="Arial" w:eastAsia="Arial" w:hAnsi="Arial"/>
          <w:sz w:val="18"/>
          <w:szCs w:val="18"/>
          <w:color w:val="auto"/>
        </w:rPr>
        <w:t>one hundred percent (100%) of all unvested Equity Awards held by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firstLine="1428"/>
        <w:spacing w:after="0" w:line="269" w:lineRule="auto"/>
        <w:tabs>
          <w:tab w:leader="none" w:pos="1737" w:val="left"/>
        </w:tabs>
        <w:numPr>
          <w:ilvl w:val="1"/>
          <w:numId w:val="209"/>
        </w:numPr>
        <w:rPr>
          <w:rFonts w:ascii="Arial" w:cs="Arial" w:eastAsia="Arial" w:hAnsi="Arial"/>
          <w:sz w:val="17"/>
          <w:szCs w:val="17"/>
          <w:b w:val="1"/>
          <w:bCs w:val="1"/>
          <w:color w:val="auto"/>
        </w:rPr>
      </w:pPr>
      <w:r>
        <w:rPr>
          <w:rFonts w:ascii="Arial" w:cs="Arial" w:eastAsia="Arial" w:hAnsi="Arial"/>
          <w:sz w:val="17"/>
          <w:szCs w:val="17"/>
          <w:color w:val="auto"/>
        </w:rPr>
        <w:t xml:space="preserve">during the period commencing on the Date of Termination and ending on the first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02" w:name="page303"/>
    <w:bookmarkEnd w:id="302"/>
    <w:p>
      <w:pPr>
        <w:ind w:right="80" w:firstLine="987"/>
        <w:spacing w:after="0" w:line="263" w:lineRule="auto"/>
        <w:tabs>
          <w:tab w:leader="none" w:pos="1236" w:val="left"/>
        </w:tabs>
        <w:numPr>
          <w:ilvl w:val="1"/>
          <w:numId w:val="21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Other Severance</w:t>
      </w:r>
      <w:r>
        <w:rPr>
          <w:rFonts w:ascii="Arial" w:cs="Arial" w:eastAsia="Arial" w:hAnsi="Arial"/>
          <w:sz w:val="18"/>
          <w:szCs w:val="18"/>
          <w:color w:val="auto"/>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75" w:lineRule="exact"/>
        <w:rPr>
          <w:rFonts w:ascii="Arial" w:cs="Arial" w:eastAsia="Arial" w:hAnsi="Arial"/>
          <w:sz w:val="18"/>
          <w:szCs w:val="18"/>
          <w:b w:val="1"/>
          <w:bCs w:val="1"/>
          <w:color w:val="auto"/>
        </w:rPr>
      </w:pPr>
    </w:p>
    <w:p>
      <w:pPr>
        <w:ind w:right="180" w:firstLine="987"/>
        <w:spacing w:after="0" w:line="263" w:lineRule="auto"/>
        <w:tabs>
          <w:tab w:leader="none" w:pos="1216" w:val="left"/>
        </w:tabs>
        <w:numPr>
          <w:ilvl w:val="1"/>
          <w:numId w:val="210"/>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71" w:lineRule="exact"/>
        <w:rPr>
          <w:rFonts w:ascii="Arial" w:cs="Arial" w:eastAsia="Arial" w:hAnsi="Arial"/>
          <w:sz w:val="18"/>
          <w:szCs w:val="18"/>
          <w:b w:val="1"/>
          <w:bCs w:val="1"/>
          <w:color w:val="auto"/>
        </w:rPr>
      </w:pPr>
    </w:p>
    <w:p>
      <w:pPr>
        <w:ind w:firstLine="436"/>
        <w:spacing w:after="0" w:line="286" w:lineRule="auto"/>
        <w:tabs>
          <w:tab w:leader="none" w:pos="62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Notwithstanding anything to the contrary in this Agreement, any payments or other benefits due under this Agreement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are subject to Executive’s execution and delivery of a Release, (a) the Company shall deliver the Release to Executive within ten (10) business days following Executive’s Date of Termination, and the Company’s failure to deliver a Release prior to the expiration of such ten (10) business day period shall constitute a waiver of any requirement to execute a Release, (b) if Executive fails to execute the Release on or prior to the Release Expiration Date (as defined below) or timely revokes Executive’s acceptance of the Release thereafter, Executive shall not be entitled to any payments or benefits otherwise conditioned on the Release, and (c)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(as defined below) shall be made in the later taxable year. For purposes of this Section 7,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(as defined below)) due under this Agreement as a result of Executive’s termination of employment are delayed pursuant to this Section 7, such amounts shall be paid in a lump sum on the first payroll date following the date that Executive executes and does not revoke the Release (and the applicable revocation period has expired) or, in the case of any payments subject to Section 7(c), on the first payroll period to occur in the subsequent taxable year, if later.</w:t>
      </w:r>
    </w:p>
    <w:p>
      <w:pPr>
        <w:spacing w:after="0" w:line="59" w:lineRule="exact"/>
        <w:rPr>
          <w:rFonts w:ascii="Arial" w:cs="Arial" w:eastAsia="Arial" w:hAnsi="Arial"/>
          <w:sz w:val="16"/>
          <w:szCs w:val="16"/>
          <w:b w:val="1"/>
          <w:bCs w:val="1"/>
          <w:color w:val="auto"/>
        </w:rPr>
      </w:pPr>
    </w:p>
    <w:p>
      <w:pPr>
        <w:ind w:firstLine="436"/>
        <w:spacing w:after="0" w:line="294" w:lineRule="auto"/>
        <w:tabs>
          <w:tab w:leader="none" w:pos="62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color w:val="auto"/>
        </w:rPr>
        <w:t>. For a period of one (1) year following Executive’s Date of Termination, Executive shall not, either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03" w:name="page304"/>
    <w:bookmarkEnd w:id="303"/>
    <w:p>
      <w:pPr>
        <w:ind w:left="624" w:hanging="184"/>
        <w:spacing w:after="0"/>
        <w:tabs>
          <w:tab w:leader="none" w:pos="624"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Golden Parachute Excise Tax</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3" w:lineRule="auto"/>
        <w:tabs>
          <w:tab w:leader="none" w:pos="1250" w:val="left"/>
        </w:tabs>
        <w:numPr>
          <w:ilvl w:val="2"/>
          <w:numId w:val="212"/>
        </w:numPr>
        <w:rPr>
          <w:rFonts w:ascii="Arial" w:cs="Arial" w:eastAsia="Arial" w:hAnsi="Arial"/>
          <w:sz w:val="16"/>
          <w:szCs w:val="16"/>
          <w:b w:val="1"/>
          <w:bCs w:val="1"/>
          <w:color w:val="auto"/>
        </w:rPr>
      </w:pPr>
      <w:r>
        <w:rPr>
          <w:rFonts w:ascii="Arial" w:cs="Arial" w:eastAsia="Arial" w:hAnsi="Arial"/>
          <w:sz w:val="16"/>
          <w:szCs w:val="16"/>
          <w:u w:val="single" w:color="auto"/>
          <w:color w:val="auto"/>
        </w:rPr>
        <w:t>Best Pay</w:t>
      </w:r>
      <w:r>
        <w:rPr>
          <w:rFonts w:ascii="Arial" w:cs="Arial" w:eastAsia="Arial" w:hAnsi="Arial"/>
          <w:sz w:val="16"/>
          <w:szCs w:val="16"/>
          <w:color w:val="auto"/>
        </w:rPr>
        <w:t>. Any provision of this Agreement to the contrary notwithstanding, if any payment or benefit Executive would receive from the Company pursuant to this Agreement or otherwise (“</w:t>
      </w:r>
      <w:r>
        <w:rPr>
          <w:rFonts w:ascii="Arial" w:cs="Arial" w:eastAsia="Arial" w:hAnsi="Arial"/>
          <w:sz w:val="16"/>
          <w:szCs w:val="16"/>
          <w:u w:val="single" w:color="auto"/>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u w:val="single" w:color="auto"/>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u w:val="single" w:color="auto"/>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Arial" w:cs="Arial" w:eastAsia="Arial" w:hAnsi="Arial"/>
          <w:sz w:val="16"/>
          <w:szCs w:val="16"/>
          <w:b w:val="1"/>
          <w:bCs w:val="1"/>
          <w:color w:val="auto"/>
        </w:rPr>
      </w:pPr>
    </w:p>
    <w:p>
      <w:pPr>
        <w:ind w:left="4" w:right="180" w:hanging="4"/>
        <w:spacing w:after="0" w:line="295" w:lineRule="auto"/>
        <w:tabs>
          <w:tab w:leader="none" w:pos="25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53" w:lineRule="exact"/>
        <w:rPr>
          <w:rFonts w:ascii="Arial" w:cs="Arial" w:eastAsia="Arial" w:hAnsi="Arial"/>
          <w:sz w:val="16"/>
          <w:szCs w:val="16"/>
          <w:color w:val="auto"/>
        </w:rPr>
      </w:pPr>
    </w:p>
    <w:p>
      <w:pPr>
        <w:ind w:left="4" w:firstLine="987"/>
        <w:spacing w:after="0" w:line="289" w:lineRule="auto"/>
        <w:tabs>
          <w:tab w:leader="none" w:pos="1260" w:val="left"/>
        </w:tabs>
        <w:numPr>
          <w:ilvl w:val="2"/>
          <w:numId w:val="213"/>
        </w:numPr>
        <w:rPr>
          <w:rFonts w:ascii="Arial" w:cs="Arial" w:eastAsia="Arial" w:hAnsi="Arial"/>
          <w:sz w:val="16"/>
          <w:szCs w:val="16"/>
          <w:b w:val="1"/>
          <w:bCs w:val="1"/>
          <w:color w:val="auto"/>
        </w:rPr>
      </w:pP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engaged by the Company for general tax purposes as of the day prior to the Change in Control will perform the calculations set forth in Section 9(a)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0" w:right="479" w:bottom="1440" w:gutter="0" w:footer="0" w:header="0"/>
        </w:sectPr>
      </w:pPr>
    </w:p>
    <w:bookmarkStart w:id="304" w:name="page305"/>
    <w:bookmarkEnd w:id="304"/>
    <w:p>
      <w:pPr>
        <w:ind w:left="680" w:hanging="264"/>
        <w:spacing w:after="0"/>
        <w:tabs>
          <w:tab w:leader="none" w:pos="6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987"/>
        <w:spacing w:after="0" w:line="269" w:lineRule="auto"/>
        <w:tabs>
          <w:tab w:leader="none" w:pos="1226" w:val="left"/>
        </w:tabs>
        <w:numPr>
          <w:ilvl w:val="1"/>
          <w:numId w:val="214"/>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73" w:lineRule="exact"/>
        <w:rPr>
          <w:rFonts w:ascii="Arial" w:cs="Arial" w:eastAsia="Arial" w:hAnsi="Arial"/>
          <w:sz w:val="17"/>
          <w:szCs w:val="17"/>
          <w:b w:val="1"/>
          <w:bCs w:val="1"/>
          <w:color w:val="auto"/>
        </w:rPr>
      </w:pPr>
    </w:p>
    <w:p>
      <w:pPr>
        <w:ind w:left="-20" w:right="100" w:firstLine="987"/>
        <w:spacing w:after="0" w:line="290" w:lineRule="auto"/>
        <w:tabs>
          <w:tab w:leader="none" w:pos="1236" w:val="left"/>
        </w:tabs>
        <w:numPr>
          <w:ilvl w:val="1"/>
          <w:numId w:val="214"/>
        </w:numPr>
        <w:rPr>
          <w:rFonts w:ascii="Arial" w:cs="Arial" w:eastAsia="Arial" w:hAnsi="Arial"/>
          <w:sz w:val="16"/>
          <w:szCs w:val="16"/>
          <w:b w:val="1"/>
          <w:bCs w:val="1"/>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16"/>
          <w:szCs w:val="16"/>
          <w:u w:val="single" w:color="auto"/>
          <w:color w:val="auto"/>
        </w:rPr>
        <w:t>Separation from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57" w:lineRule="exact"/>
        <w:rPr>
          <w:rFonts w:ascii="Arial" w:cs="Arial" w:eastAsia="Arial" w:hAnsi="Arial"/>
          <w:sz w:val="16"/>
          <w:szCs w:val="16"/>
          <w:b w:val="1"/>
          <w:bCs w:val="1"/>
          <w:color w:val="auto"/>
        </w:rPr>
      </w:pPr>
    </w:p>
    <w:p>
      <w:pPr>
        <w:ind w:left="-20" w:right="40" w:firstLine="987"/>
        <w:spacing w:after="0" w:line="291" w:lineRule="auto"/>
        <w:tabs>
          <w:tab w:leader="none" w:pos="1216" w:val="left"/>
        </w:tabs>
        <w:numPr>
          <w:ilvl w:val="1"/>
          <w:numId w:val="214"/>
        </w:numPr>
        <w:rPr>
          <w:rFonts w:ascii="Arial" w:cs="Arial" w:eastAsia="Arial" w:hAnsi="Arial"/>
          <w:sz w:val="16"/>
          <w:szCs w:val="16"/>
          <w:b w:val="1"/>
          <w:bCs w:val="1"/>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305" w:name="page306"/>
    <w:bookmarkEnd w:id="305"/>
    <w:p>
      <w:pPr>
        <w:jc w:val="both"/>
        <w:ind w:left="4" w:right="40" w:firstLine="436"/>
        <w:spacing w:after="0" w:line="266" w:lineRule="auto"/>
        <w:tabs>
          <w:tab w:leader="none" w:pos="704"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Arial" w:cs="Arial" w:eastAsia="Arial" w:hAnsi="Arial"/>
          <w:sz w:val="18"/>
          <w:szCs w:val="18"/>
          <w:color w:val="auto"/>
        </w:rPr>
        <w:t>. The Company shall be entitled to withhold from any amounts payable under this Agreement any federal, state, local, or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or other taxes or charges which the Company is required to withhold. The Company shall be entitled to rely on an opinion of counsel if any questions as to the amount or requirement of withholding shall arise.</w:t>
      </w:r>
    </w:p>
    <w:p>
      <w:pPr>
        <w:spacing w:after="0" w:line="67" w:lineRule="exact"/>
        <w:rPr>
          <w:rFonts w:ascii="Arial" w:cs="Arial" w:eastAsia="Arial" w:hAnsi="Arial"/>
          <w:sz w:val="18"/>
          <w:szCs w:val="18"/>
          <w:b w:val="1"/>
          <w:bCs w:val="1"/>
          <w:color w:val="auto"/>
        </w:rPr>
      </w:pPr>
    </w:p>
    <w:p>
      <w:pPr>
        <w:ind w:left="704" w:hanging="264"/>
        <w:spacing w:after="0"/>
        <w:tabs>
          <w:tab w:leader="none" w:pos="704"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4" w:lineRule="auto"/>
        <w:tabs>
          <w:tab w:leader="none" w:pos="1250" w:val="left"/>
        </w:tabs>
        <w:numPr>
          <w:ilvl w:val="2"/>
          <w:numId w:val="215"/>
        </w:numPr>
        <w:rPr>
          <w:rFonts w:ascii="Arial" w:cs="Arial" w:eastAsia="Arial" w:hAnsi="Arial"/>
          <w:sz w:val="16"/>
          <w:szCs w:val="16"/>
          <w:b w:val="1"/>
          <w:bCs w:val="1"/>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w:t>
      </w:r>
    </w:p>
    <w:p>
      <w:pPr>
        <w:spacing w:after="0" w:line="4" w:lineRule="exact"/>
        <w:rPr>
          <w:rFonts w:ascii="Arial" w:cs="Arial" w:eastAsia="Arial" w:hAnsi="Arial"/>
          <w:sz w:val="16"/>
          <w:szCs w:val="16"/>
          <w:b w:val="1"/>
          <w:bCs w:val="1"/>
          <w:color w:val="auto"/>
        </w:rPr>
      </w:pPr>
    </w:p>
    <w:p>
      <w:pPr>
        <w:ind w:left="4" w:right="340" w:hanging="4"/>
        <w:spacing w:after="0" w:line="277" w:lineRule="auto"/>
        <w:tabs>
          <w:tab w:leader="none" w:pos="24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64" w:lineRule="exact"/>
        <w:rPr>
          <w:rFonts w:ascii="Arial" w:cs="Arial" w:eastAsia="Arial" w:hAnsi="Arial"/>
          <w:sz w:val="17"/>
          <w:szCs w:val="17"/>
          <w:color w:val="auto"/>
        </w:rPr>
      </w:pPr>
    </w:p>
    <w:p>
      <w:pPr>
        <w:ind w:left="4" w:firstLine="987"/>
        <w:spacing w:after="0" w:line="275" w:lineRule="auto"/>
        <w:tabs>
          <w:tab w:leader="none" w:pos="1260" w:val="left"/>
        </w:tabs>
        <w:numPr>
          <w:ilvl w:val="2"/>
          <w:numId w:val="216"/>
        </w:numPr>
        <w:rPr>
          <w:rFonts w:ascii="Arial" w:cs="Arial" w:eastAsia="Arial" w:hAnsi="Arial"/>
          <w:sz w:val="17"/>
          <w:szCs w:val="17"/>
          <w:b w:val="1"/>
          <w:bCs w:val="1"/>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68" w:lineRule="exact"/>
        <w:rPr>
          <w:rFonts w:ascii="Arial" w:cs="Arial" w:eastAsia="Arial" w:hAnsi="Arial"/>
          <w:sz w:val="17"/>
          <w:szCs w:val="17"/>
          <w:b w:val="1"/>
          <w:bCs w:val="1"/>
          <w:color w:val="auto"/>
        </w:rPr>
      </w:pPr>
    </w:p>
    <w:p>
      <w:pPr>
        <w:ind w:left="4" w:right="180" w:firstLine="987"/>
        <w:spacing w:after="0" w:line="259" w:lineRule="auto"/>
        <w:tabs>
          <w:tab w:leader="none" w:pos="1240" w:val="left"/>
        </w:tabs>
        <w:numPr>
          <w:ilvl w:val="2"/>
          <w:numId w:val="216"/>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78" w:lineRule="exact"/>
        <w:rPr>
          <w:rFonts w:ascii="Arial" w:cs="Arial" w:eastAsia="Arial" w:hAnsi="Arial"/>
          <w:sz w:val="18"/>
          <w:szCs w:val="18"/>
          <w:b w:val="1"/>
          <w:bCs w:val="1"/>
          <w:color w:val="auto"/>
        </w:rPr>
      </w:pPr>
    </w:p>
    <w:p>
      <w:pPr>
        <w:ind w:left="4" w:right="920" w:firstLine="987"/>
        <w:spacing w:after="0" w:line="277" w:lineRule="auto"/>
        <w:tabs>
          <w:tab w:leader="none" w:pos="1260" w:val="left"/>
        </w:tabs>
        <w:numPr>
          <w:ilvl w:val="2"/>
          <w:numId w:val="216"/>
        </w:numPr>
        <w:rPr>
          <w:rFonts w:ascii="Arial" w:cs="Arial" w:eastAsia="Arial" w:hAnsi="Arial"/>
          <w:sz w:val="18"/>
          <w:szCs w:val="18"/>
          <w:b w:val="1"/>
          <w:bCs w:val="1"/>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2" w:lineRule="exact"/>
        <w:rPr>
          <w:rFonts w:ascii="Arial" w:cs="Arial" w:eastAsia="Arial" w:hAnsi="Arial"/>
          <w:sz w:val="18"/>
          <w:szCs w:val="18"/>
          <w:b w:val="1"/>
          <w:bCs w:val="1"/>
          <w:color w:val="auto"/>
        </w:rPr>
      </w:pPr>
    </w:p>
    <w:p>
      <w:pPr>
        <w:ind w:left="4" w:right="160" w:firstLine="987"/>
        <w:spacing w:after="0" w:line="259" w:lineRule="auto"/>
        <w:tabs>
          <w:tab w:leader="none" w:pos="1240" w:val="left"/>
        </w:tabs>
        <w:numPr>
          <w:ilvl w:val="2"/>
          <w:numId w:val="216"/>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306" w:name="page307"/>
    <w:bookmarkEnd w:id="306"/>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obligated to comply with or perform;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76" w:lineRule="exact"/>
        <w:rPr>
          <w:sz w:val="20"/>
          <w:szCs w:val="20"/>
          <w:color w:val="auto"/>
        </w:rPr>
      </w:pPr>
    </w:p>
    <w:p>
      <w:pPr>
        <w:ind w:right="40" w:firstLine="987"/>
        <w:spacing w:after="0" w:line="269" w:lineRule="auto"/>
        <w:tabs>
          <w:tab w:leader="none" w:pos="1216" w:val="left"/>
        </w:tabs>
        <w:numPr>
          <w:ilvl w:val="0"/>
          <w:numId w:val="217"/>
        </w:numPr>
        <w:rPr>
          <w:rFonts w:ascii="Arial" w:cs="Arial" w:eastAsia="Arial" w:hAnsi="Arial"/>
          <w:sz w:val="17"/>
          <w:szCs w:val="17"/>
          <w:b w:val="1"/>
          <w:bCs w:val="1"/>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Executive agrees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mutually selected by the Company and Executive. This means that disputes will be decided by an arbitrator rather than a court or jury, and that both Executive and the Company waive their respective rights to a court or jury trial. Judgment on the arbitration award may be entered in any court having jurisdiction. Nothing herein shall prevent either Party from pursuing injunctive relief in court (without having to post a bond) to avoid irreparable harm pending completion of any arbitration. Within twenty (20) days of the conclusion of the arbitration hearing, the arbitrator shall prepare written findings of fact and conclusions of law. Each party shall bear its own costs and attorneys’ fees in connection with arbitration;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pay all costs unique to arbitration, including the arbitrator’s fees and costs, that Executive would not be required to pay if the claim was in court. Executive shall be entitled to recover reasonable attorneys’ fees and costs incurred by Executive in any arbitration Executive initiates to enforce Executive’s rights under this Agreement and in which Executive is deemed to be the prevailing party.</w:t>
      </w:r>
    </w:p>
    <w:p>
      <w:pPr>
        <w:spacing w:after="0" w:line="73" w:lineRule="exact"/>
        <w:rPr>
          <w:rFonts w:ascii="Arial" w:cs="Arial" w:eastAsia="Arial" w:hAnsi="Arial"/>
          <w:sz w:val="17"/>
          <w:szCs w:val="17"/>
          <w:b w:val="1"/>
          <w:bCs w:val="1"/>
          <w:color w:val="auto"/>
        </w:rPr>
      </w:pPr>
    </w:p>
    <w:p>
      <w:pPr>
        <w:ind w:right="20" w:firstLine="987"/>
        <w:spacing w:after="0" w:line="255" w:lineRule="auto"/>
        <w:tabs>
          <w:tab w:leader="none" w:pos="1246" w:val="left"/>
        </w:tabs>
        <w:numPr>
          <w:ilvl w:val="0"/>
          <w:numId w:val="217"/>
        </w:numPr>
        <w:rPr>
          <w:rFonts w:ascii="Arial" w:cs="Arial" w:eastAsia="Arial" w:hAnsi="Arial"/>
          <w:sz w:val="18"/>
          <w:szCs w:val="18"/>
          <w:b w:val="1"/>
          <w:bCs w:val="1"/>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4" w:lineRule="exact"/>
        <w:rPr>
          <w:rFonts w:ascii="Arial" w:cs="Arial" w:eastAsia="Arial" w:hAnsi="Arial"/>
          <w:sz w:val="18"/>
          <w:szCs w:val="18"/>
          <w:b w:val="1"/>
          <w:bCs w:val="1"/>
          <w:color w:val="auto"/>
        </w:rPr>
      </w:pPr>
    </w:p>
    <w:p>
      <w:pPr>
        <w:ind w:firstLine="987"/>
        <w:spacing w:after="0" w:line="301" w:lineRule="auto"/>
        <w:tabs>
          <w:tab w:leader="none" w:pos="1256" w:val="left"/>
        </w:tabs>
        <w:numPr>
          <w:ilvl w:val="0"/>
          <w:numId w:val="217"/>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of this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49" w:lineRule="exact"/>
        <w:rPr>
          <w:rFonts w:ascii="Arial" w:cs="Arial" w:eastAsia="Arial" w:hAnsi="Arial"/>
          <w:sz w:val="16"/>
          <w:szCs w:val="16"/>
          <w:b w:val="1"/>
          <w:bCs w:val="1"/>
          <w:color w:val="auto"/>
        </w:rPr>
      </w:pPr>
    </w:p>
    <w:p>
      <w:pPr>
        <w:ind w:right="500" w:firstLine="987"/>
        <w:spacing w:after="0" w:line="277" w:lineRule="auto"/>
        <w:tabs>
          <w:tab w:leader="none" w:pos="1206" w:val="left"/>
        </w:tabs>
        <w:numPr>
          <w:ilvl w:val="0"/>
          <w:numId w:val="217"/>
        </w:numPr>
        <w:rPr>
          <w:rFonts w:ascii="Arial" w:cs="Arial" w:eastAsia="Arial" w:hAnsi="Arial"/>
          <w:sz w:val="18"/>
          <w:szCs w:val="18"/>
          <w:b w:val="1"/>
          <w:bCs w:val="1"/>
          <w:color w:val="auto"/>
        </w:rPr>
      </w:pPr>
      <w:r>
        <w:rPr>
          <w:rFonts w:ascii="Arial" w:cs="Arial" w:eastAsia="Arial" w:hAnsi="Arial"/>
          <w:sz w:val="18"/>
          <w:szCs w:val="18"/>
          <w:u w:val="single" w:color="auto"/>
          <w:color w:val="auto"/>
        </w:rPr>
        <w:t>Prior Agreement</w:t>
      </w:r>
      <w:r>
        <w:rPr>
          <w:rFonts w:ascii="Arial" w:cs="Arial" w:eastAsia="Arial" w:hAnsi="Arial"/>
          <w:sz w:val="18"/>
          <w:szCs w:val="18"/>
          <w:color w:val="auto"/>
        </w:rPr>
        <w:t>. This Agreement supersedes the Prior Agreement and all prior or contemporaneous agreements and statements, whether written or oral, concerning the terms of Executive’s employment with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307" w:name="page308"/>
    <w:bookmarkEnd w:id="307"/>
    <w:p>
      <w:pPr>
        <w:ind w:left="-160" w:firstLine="987"/>
        <w:spacing w:after="0" w:line="263" w:lineRule="auto"/>
        <w:tabs>
          <w:tab w:leader="none" w:pos="1056" w:val="left"/>
        </w:tabs>
        <w:numPr>
          <w:ilvl w:val="0"/>
          <w:numId w:val="218"/>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Acknowledgement</w:t>
      </w:r>
      <w:r>
        <w:rPr>
          <w:rFonts w:ascii="Arial" w:cs="Arial" w:eastAsia="Arial" w:hAnsi="Arial"/>
          <w:sz w:val="18"/>
          <w:szCs w:val="18"/>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75" w:lineRule="exact"/>
        <w:rPr>
          <w:rFonts w:ascii="Arial" w:cs="Arial" w:eastAsia="Arial" w:hAnsi="Arial"/>
          <w:sz w:val="18"/>
          <w:szCs w:val="18"/>
          <w:b w:val="1"/>
          <w:bCs w:val="1"/>
          <w:color w:val="auto"/>
        </w:rPr>
      </w:pPr>
    </w:p>
    <w:p>
      <w:pPr>
        <w:ind w:left="-160" w:right="220" w:firstLine="987"/>
        <w:spacing w:after="0" w:line="342" w:lineRule="auto"/>
        <w:tabs>
          <w:tab w:leader="none" w:pos="1096" w:val="left"/>
        </w:tabs>
        <w:numPr>
          <w:ilvl w:val="0"/>
          <w:numId w:val="218"/>
        </w:numPr>
        <w:rPr>
          <w:rFonts w:ascii="Arial" w:cs="Arial" w:eastAsia="Arial" w:hAnsi="Arial"/>
          <w:sz w:val="16"/>
          <w:szCs w:val="16"/>
          <w:b w:val="1"/>
          <w:bCs w:val="1"/>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80"/>
          </w:cols>
          <w:pgMar w:left="600" w:top="274" w:right="61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duly executed this Agreement as of the date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TYRA BIOSCIENCES,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Todd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Todd Harris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Chief Executive Officer and President</w:t>
      </w:r>
    </w:p>
    <w:p>
      <w:pPr>
        <w:spacing w:after="0" w:line="24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Bensen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Bensen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Employment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All defined terms used in this Appendix I that are not otherwise defined in this Appendix I shall have the meaning ascribed to such terms in the Amended and Restated Employment Agreement to which this Appendix I relates.</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Acquiring Company</w:t>
      </w:r>
      <w:r>
        <w:rPr>
          <w:rFonts w:ascii="Arial" w:cs="Arial" w:eastAsia="Arial" w:hAnsi="Arial"/>
          <w:sz w:val="18"/>
          <w:szCs w:val="18"/>
          <w:color w:val="auto"/>
        </w:rPr>
        <w:t>” shall mean the resulting or surviving corporation, or the company issuing cash or securities (or its ultimate parent company), in a merger consolidation, tender offer or share exchange involving the Company, or the successor corporation to the Company (whether in any such transaction or otherwise).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the occurrence of any one or more of the following events or conditions:</w:t>
      </w:r>
    </w:p>
    <w:p>
      <w:pPr>
        <w:spacing w:after="0" w:line="121" w:lineRule="exact"/>
        <w:rPr>
          <w:sz w:val="20"/>
          <w:szCs w:val="20"/>
          <w:color w:val="auto"/>
        </w:rPr>
      </w:pPr>
    </w:p>
    <w:p>
      <w:pPr>
        <w:ind w:right="160" w:firstLine="1979"/>
        <w:spacing w:after="0" w:line="263" w:lineRule="auto"/>
        <w:tabs>
          <w:tab w:leader="none" w:pos="2198"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spacing w:after="0" w:line="75" w:lineRule="exact"/>
        <w:rPr>
          <w:rFonts w:ascii="Arial" w:cs="Arial" w:eastAsia="Arial" w:hAnsi="Arial"/>
          <w:sz w:val="18"/>
          <w:szCs w:val="18"/>
          <w:b w:val="1"/>
          <w:bCs w:val="1"/>
          <w:color w:val="auto"/>
        </w:rPr>
      </w:pPr>
    </w:p>
    <w:p>
      <w:pPr>
        <w:ind w:right="120" w:firstLine="1979"/>
        <w:spacing w:after="0" w:line="277" w:lineRule="auto"/>
        <w:tabs>
          <w:tab w:leader="none" w:pos="2248"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Executive’s dishonesty or other misconduct, if such dishonesty or other misconduct is intended to or likely to materially injure the business or reputation of the Company;</w:t>
      </w:r>
    </w:p>
    <w:p>
      <w:pPr>
        <w:spacing w:after="0" w:line="62" w:lineRule="exact"/>
        <w:rPr>
          <w:rFonts w:ascii="Arial" w:cs="Arial" w:eastAsia="Arial" w:hAnsi="Arial"/>
          <w:sz w:val="18"/>
          <w:szCs w:val="18"/>
          <w:b w:val="1"/>
          <w:bCs w:val="1"/>
          <w:color w:val="auto"/>
        </w:rPr>
      </w:pPr>
    </w:p>
    <w:p>
      <w:pPr>
        <w:ind w:left="2300" w:hanging="321"/>
        <w:spacing w:after="0"/>
        <w:tabs>
          <w:tab w:leader="none" w:pos="2300"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Executive’s conviction or no contest plea to any misdemeanor involving dishonesty, theft, fraud or moral turpitude,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any felony.</w:t>
      </w:r>
    </w:p>
    <w:p>
      <w:pPr>
        <w:spacing w:after="0" w:line="102" w:lineRule="exact"/>
        <w:rPr>
          <w:rFonts w:ascii="Arial" w:cs="Arial" w:eastAsia="Arial" w:hAnsi="Arial"/>
          <w:sz w:val="16"/>
          <w:szCs w:val="16"/>
          <w:b w:val="1"/>
          <w:bCs w:val="1"/>
          <w:color w:val="auto"/>
        </w:rPr>
      </w:pPr>
    </w:p>
    <w:p>
      <w:pPr>
        <w:ind w:right="140" w:firstLine="1979"/>
        <w:spacing w:after="0" w:line="342" w:lineRule="auto"/>
        <w:tabs>
          <w:tab w:leader="none" w:pos="2287"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Executive’s insobriety or illegal use of drugs, chemicals or controlled substances either (A) in the course of performing Executive’s duties and responsibilities under this Agreement or (B) otherwise materially affecting the ability of Executive to perform the same;</w:t>
      </w:r>
    </w:p>
    <w:p>
      <w:pPr>
        <w:spacing w:after="0" w:line="15" w:lineRule="exact"/>
        <w:rPr>
          <w:rFonts w:ascii="Arial" w:cs="Arial" w:eastAsia="Arial" w:hAnsi="Arial"/>
          <w:sz w:val="16"/>
          <w:szCs w:val="16"/>
          <w:b w:val="1"/>
          <w:bCs w:val="1"/>
          <w:color w:val="auto"/>
        </w:rPr>
      </w:pPr>
    </w:p>
    <w:p>
      <w:pPr>
        <w:ind w:firstLine="1979"/>
        <w:spacing w:after="0" w:line="277" w:lineRule="auto"/>
        <w:tabs>
          <w:tab w:leader="none" w:pos="2237"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Executive’s material breach of any written agreement with the Company or any of its affiliates or material violation of the Company’s Code of Conduct or any other material written policy of the Company; or</w:t>
      </w:r>
    </w:p>
    <w:p>
      <w:pPr>
        <w:spacing w:after="0" w:line="62" w:lineRule="exact"/>
        <w:rPr>
          <w:rFonts w:ascii="Arial" w:cs="Arial" w:eastAsia="Arial" w:hAnsi="Arial"/>
          <w:sz w:val="18"/>
          <w:szCs w:val="18"/>
          <w:b w:val="1"/>
          <w:bCs w:val="1"/>
          <w:color w:val="auto"/>
        </w:rPr>
      </w:pPr>
    </w:p>
    <w:p>
      <w:pPr>
        <w:ind w:left="2280" w:hanging="301"/>
        <w:spacing w:after="0"/>
        <w:tabs>
          <w:tab w:leader="none" w:pos="228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Any wanton or willful dereliction of duties by Executive.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shall mean the occurrence of any of the following events or circumstances:</w:t>
      </w:r>
    </w:p>
    <w:p>
      <w:pPr>
        <w:spacing w:after="0" w:line="121" w:lineRule="exact"/>
        <w:rPr>
          <w:sz w:val="20"/>
          <w:szCs w:val="20"/>
          <w:color w:val="auto"/>
        </w:rPr>
      </w:pPr>
    </w:p>
    <w:p>
      <w:pPr>
        <w:ind w:right="340" w:firstLine="1979"/>
        <w:spacing w:after="0" w:line="296" w:lineRule="auto"/>
        <w:tabs>
          <w:tab w:leader="none" w:pos="2198"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t>any “person” (within the meaning of Section 13(d) or 14(d)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including a “group” within the meaning of such Section 13(d) but excluding the Company and any of its subsidiaries and any employee benefit plan sponsored or maintained by the Company or any subsidiary thereof, shall become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w:t>
      </w:r>
      <w:r>
        <w:rPr>
          <w:rFonts w:ascii="Arial" w:cs="Arial" w:eastAsia="Arial" w:hAnsi="Arial"/>
          <w:sz w:val="16"/>
          <w:szCs w:val="16"/>
          <w:b w:val="1"/>
          <w:bCs w:val="1"/>
          <w:color w:val="auto"/>
        </w:rPr>
        <w:t>Company Voting Securities</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sectPr>
      </w:pPr>
    </w:p>
    <w:bookmarkStart w:id="310" w:name="page311"/>
    <w:bookmarkEnd w:id="310"/>
    <w:p>
      <w:pPr>
        <w:ind w:right="100" w:firstLine="1979"/>
        <w:spacing w:after="0" w:line="293" w:lineRule="auto"/>
        <w:tabs>
          <w:tab w:leader="none" w:pos="2248"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consummation of a merger or consolidation involving the Company, or the acceptance by the stockholders of the Company of equity securities in a share exchange, where the Persons who were the beneficial owners of the Company Voting Securities outstanding immediately prior to such merger, consolidation or share exchange, do not beneficially own, directly or indirectly, immediately after such merger, consolidation or share exchange, securities representing more than fifty percent (50%) of the combined voting power of the then-outstanding Company Voting Securities or voting securities of the Acquiring Company in such merger, consolidation or share exchange, in substantially the same proportions as their ownership of the Company Voting Securities immediately prior to such merger, consolidation or share exchange;</w:t>
      </w:r>
    </w:p>
    <w:p>
      <w:pPr>
        <w:spacing w:after="0" w:line="56" w:lineRule="exact"/>
        <w:rPr>
          <w:rFonts w:ascii="Arial" w:cs="Arial" w:eastAsia="Arial" w:hAnsi="Arial"/>
          <w:sz w:val="16"/>
          <w:szCs w:val="16"/>
          <w:b w:val="1"/>
          <w:bCs w:val="1"/>
          <w:color w:val="auto"/>
        </w:rPr>
      </w:pPr>
    </w:p>
    <w:p>
      <w:pPr>
        <w:ind w:right="140" w:firstLine="1979"/>
        <w:spacing w:after="0" w:line="296" w:lineRule="auto"/>
        <w:tabs>
          <w:tab w:leader="none" w:pos="2298"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a sale, exchange or other disposition or transfer (in one transaction or a series of related transactions) of all or substantially all of the assets of the Company; provided, however, that a Change in Control shall not be deemed to have occurred where: (x) the Company sells, exchanges or otherwise disposes or transfers all or substantially all of its assets to another Person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expressly assumes this Agreement; or</w:t>
      </w:r>
    </w:p>
    <w:p>
      <w:pPr>
        <w:spacing w:after="0" w:line="53" w:lineRule="exact"/>
        <w:rPr>
          <w:rFonts w:ascii="Arial" w:cs="Arial" w:eastAsia="Arial" w:hAnsi="Arial"/>
          <w:sz w:val="16"/>
          <w:szCs w:val="16"/>
          <w:b w:val="1"/>
          <w:bCs w:val="1"/>
          <w:color w:val="auto"/>
        </w:rPr>
      </w:pPr>
    </w:p>
    <w:p>
      <w:pPr>
        <w:ind w:firstLine="1979"/>
        <w:spacing w:after="0" w:line="291" w:lineRule="auto"/>
        <w:tabs>
          <w:tab w:leader="none" w:pos="2287"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such time as the Continuing Directors (as defined below) do not constitute at least a majority of the Board (or, if applicable, the board of directors of a successor to the Company), where the term “Continuing Director” means at any date a member of the Board who was: (x) a member of the Board on the Effective Date; or (y)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shall be a Continuing Director).</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 Period</w:t>
      </w:r>
      <w:r>
        <w:rPr>
          <w:rFonts w:ascii="Arial" w:cs="Arial" w:eastAsia="Arial" w:hAnsi="Arial"/>
          <w:sz w:val="18"/>
          <w:szCs w:val="18"/>
          <w:color w:val="auto"/>
        </w:rPr>
        <w:t>” shall mean the period commencing three (3) months prior to a Change in Control and ending on the eighteen (18)-month anniversary of the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permanent and total disability within the meaning of Section 22(e) of the Code.</w:t>
      </w:r>
    </w:p>
    <w:p>
      <w:pPr>
        <w:spacing w:after="0" w:line="2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Good Reason</w:t>
      </w:r>
      <w:r>
        <w:rPr>
          <w:rFonts w:ascii="Arial" w:cs="Arial" w:eastAsia="Arial" w:hAnsi="Arial"/>
          <w:sz w:val="17"/>
          <w:szCs w:val="17"/>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your Annual Base Salary); (ii) a material reduction of Executive’s duties and responsibilities from those in effect on the Effective Date; (iii) the Company’s material breach of this Agreement (other than a reduction of your Annual Base Salary as part of a reduction in the base salaries of all or substantially all other similarly situated employees of the Company that is in the same proportion as the reduction in your Annual Base Salary); or (iv) the permanent, non-voluntary relocation of Executive’s principal place of employment that increases Executive’s</w:t>
      </w:r>
    </w:p>
    <w:p>
      <w:pPr>
        <w:sectPr>
          <w:pgSz w:w="11900" w:h="16838" w:orient="portrait"/>
          <w:cols w:equalWidth="0" w:num="1">
            <w:col w:w="10980"/>
          </w:cols>
          <w:pgMar w:left="440" w:top="274" w:right="479" w:bottom="1440" w:gutter="0" w:footer="0" w:header="0"/>
        </w:sectPr>
      </w:pPr>
    </w:p>
    <w:bookmarkStart w:id="311" w:name="page312"/>
    <w:bookmarkEnd w:id="31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one-way commute by more than thirty-five (35) miles, provided, that, in each case, Executive will not be deemed to have Good Reason unless (A)Executive first provides the Board with written notice of the condition giving rise to Good Reason within thirty (30)days of its initial occurrence, (B)the Company or the successor company fails to cure such condition within ten (10)days after receiving such written notice (the “Cure Period”), and (C)Executive’s resignation based on such Good Reason is effective within thirty (30)days after the expiration of the Cure Period.</w:t>
      </w:r>
    </w:p>
    <w:p>
      <w:pPr>
        <w:spacing w:after="0" w:line="16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Involuntary Termination</w:t>
      </w:r>
      <w:r>
        <w:rPr>
          <w:rFonts w:ascii="Arial" w:cs="Arial" w:eastAsia="Arial" w:hAnsi="Arial"/>
          <w:sz w:val="18"/>
          <w:szCs w:val="18"/>
          <w:color w:val="auto"/>
        </w:rPr>
        <w:t>” shall mean Executive’s termination (A) by the Company without Cause, (B) by Executive for Good Reason, (C) due to death or (D) due to Disability.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any individual, corporation, limited liability corporation, partnership, or other business entity.</w:t>
      </w:r>
    </w:p>
    <w:p>
      <w:pPr>
        <w:sectPr>
          <w:pgSz w:w="11900" w:h="16838" w:orient="portrait"/>
          <w:cols w:equalWidth="0" w:num="1">
            <w:col w:w="10840"/>
          </w:cols>
          <w:pgMar w:left="440" w:top="274" w:right="61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i w:val="1"/>
          <w:iCs w:val="1"/>
          <w:color w:val="auto"/>
        </w:rPr>
        <w:t>Exhibit 10.7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380" w:firstLine="440"/>
        <w:spacing w:after="0" w:line="286" w:lineRule="auto"/>
        <w:rPr>
          <w:sz w:val="20"/>
          <w:szCs w:val="20"/>
          <w:color w:val="auto"/>
        </w:rPr>
      </w:pPr>
      <w:r>
        <w:rPr>
          <w:rFonts w:ascii="Arial" w:cs="Arial" w:eastAsia="Arial" w:hAnsi="Arial"/>
          <w:sz w:val="17"/>
          <w:szCs w:val="17"/>
          <w:color w:val="auto"/>
        </w:rPr>
        <w:t>This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this 16</w:t>
      </w:r>
      <w:r>
        <w:rPr>
          <w:rFonts w:ascii="Arial" w:cs="Arial" w:eastAsia="Arial" w:hAnsi="Arial"/>
          <w:sz w:val="14"/>
          <w:szCs w:val="14"/>
          <w:color w:val="auto"/>
        </w:rPr>
        <w:t>th</w:t>
      </w:r>
      <w:r>
        <w:rPr>
          <w:rFonts w:ascii="Arial" w:cs="Arial" w:eastAsia="Arial" w:hAnsi="Arial"/>
          <w:sz w:val="17"/>
          <w:szCs w:val="17"/>
          <w:color w:val="auto"/>
        </w:rPr>
        <w:t xml:space="preserve"> day of April, 2021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Tyra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Esther van den Boom (“</w:t>
      </w:r>
      <w:r>
        <w:rPr>
          <w:rFonts w:ascii="Arial" w:cs="Arial" w:eastAsia="Arial" w:hAnsi="Arial"/>
          <w:sz w:val="17"/>
          <w:szCs w:val="17"/>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Capitalized terms used herein and not otherwise defined shall have those meanings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 xml:space="preserve"> hereto.</w:t>
      </w:r>
    </w:p>
    <w:p>
      <w:pPr>
        <w:spacing w:after="0" w:line="16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retain the services of Executive by engaging Executive to perform services as an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hereof;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desires to provide services to the Company on the terms hereof.</w:t>
      </w:r>
    </w:p>
    <w:p>
      <w:pPr>
        <w:spacing w:after="0" w:line="225"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140" w:lineRule="exact"/>
        <w:rPr>
          <w:sz w:val="20"/>
          <w:szCs w:val="20"/>
          <w:color w:val="auto"/>
        </w:rPr>
      </w:pPr>
    </w:p>
    <w:p>
      <w:pPr>
        <w:ind w:left="620" w:hanging="184"/>
        <w:spacing w:after="0"/>
        <w:tabs>
          <w:tab w:leader="none" w:pos="62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222"/>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employ Executive upon the terms and conditions provided herein effective as of the Effective Date.</w:t>
      </w:r>
    </w:p>
    <w:p>
      <w:pPr>
        <w:spacing w:after="0" w:line="128" w:lineRule="exact"/>
        <w:rPr>
          <w:rFonts w:ascii="Arial" w:cs="Arial" w:eastAsia="Arial" w:hAnsi="Arial"/>
          <w:sz w:val="17"/>
          <w:szCs w:val="17"/>
          <w:b w:val="1"/>
          <w:bCs w:val="1"/>
          <w:color w:val="auto"/>
        </w:rPr>
      </w:pPr>
    </w:p>
    <w:p>
      <w:pPr>
        <w:ind w:right="120" w:firstLine="987"/>
        <w:spacing w:after="0" w:line="255" w:lineRule="auto"/>
        <w:tabs>
          <w:tab w:leader="none" w:pos="1256" w:val="left"/>
        </w:tabs>
        <w:numPr>
          <w:ilvl w:val="1"/>
          <w:numId w:val="222"/>
        </w:numPr>
        <w:rPr>
          <w:rFonts w:ascii="Arial" w:cs="Arial" w:eastAsia="Arial" w:hAnsi="Arial"/>
          <w:sz w:val="18"/>
          <w:szCs w:val="18"/>
          <w:b w:val="1"/>
          <w:bCs w:val="1"/>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on the Effective Date, Executive shall serve as the Company’s Chief Financial Officer, on a 50% capacity basis, with responsibilities, duties, and authority usual and customary for such position subject to direction by the Chief Executive Officer (the “</w:t>
      </w:r>
      <w:r>
        <w:rPr>
          <w:rFonts w:ascii="Arial" w:cs="Arial" w:eastAsia="Arial" w:hAnsi="Arial"/>
          <w:sz w:val="18"/>
          <w:szCs w:val="18"/>
          <w:u w:val="single" w:color="auto"/>
          <w:color w:val="auto"/>
        </w:rPr>
        <w:t>CEO</w:t>
      </w:r>
      <w:r>
        <w:rPr>
          <w:rFonts w:ascii="Arial" w:cs="Arial" w:eastAsia="Arial" w:hAnsi="Arial"/>
          <w:sz w:val="18"/>
          <w:szCs w:val="18"/>
          <w:color w:val="auto"/>
        </w:rPr>
        <w:t>”). During Executive’s employment with the Company, Executive shall report directly to the CEO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84" w:lineRule="exact"/>
        <w:rPr>
          <w:rFonts w:ascii="Arial" w:cs="Arial" w:eastAsia="Arial" w:hAnsi="Arial"/>
          <w:sz w:val="18"/>
          <w:szCs w:val="18"/>
          <w:b w:val="1"/>
          <w:bCs w:val="1"/>
          <w:color w:val="auto"/>
        </w:rPr>
      </w:pPr>
    </w:p>
    <w:p>
      <w:pPr>
        <w:ind w:right="80" w:firstLine="987"/>
        <w:spacing w:after="0" w:line="254" w:lineRule="auto"/>
        <w:tabs>
          <w:tab w:leader="none" w:pos="1236" w:val="left"/>
        </w:tabs>
        <w:numPr>
          <w:ilvl w:val="1"/>
          <w:numId w:val="222"/>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Executive’s Duties</w:t>
      </w:r>
      <w:r>
        <w:rPr>
          <w:rFonts w:ascii="Arial" w:cs="Arial" w:eastAsia="Arial" w:hAnsi="Arial"/>
          <w:sz w:val="18"/>
          <w:szCs w:val="18"/>
          <w:color w:val="auto"/>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CEO; provided that nothing herein shall preclude Executive from, subject to prior consent of the CEO: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 do not individually or in the aggregate interfere with the performance of Executive’s duties under this Agreement, violate the Company’s standards of conduct then in effect or raise a conflict under the Company’s conflict of interest policies.</w:t>
      </w:r>
    </w:p>
    <w:p>
      <w:pPr>
        <w:sectPr>
          <w:pgSz w:w="11900" w:h="16838" w:orient="portrait"/>
          <w:cols w:equalWidth="0" w:num="1">
            <w:col w:w="11020"/>
          </w:cols>
          <w:pgMar w:left="440" w:top="125" w:right="439" w:bottom="1440" w:gutter="0" w:footer="0" w:header="0"/>
        </w:sectPr>
      </w:pPr>
    </w:p>
    <w:bookmarkStart w:id="313" w:name="page314"/>
    <w:bookmarkEnd w:id="313"/>
    <w:p>
      <w:pPr>
        <w:ind w:left="-60" w:right="20" w:firstLine="436"/>
        <w:spacing w:after="0" w:line="266" w:lineRule="auto"/>
        <w:tabs>
          <w:tab w:leader="none" w:pos="5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w:t>
      </w:r>
      <w:r>
        <w:rPr>
          <w:rFonts w:ascii="Arial" w:cs="Arial" w:eastAsia="Arial" w:hAnsi="Arial"/>
          <w:sz w:val="18"/>
          <w:szCs w:val="18"/>
          <w:color w:val="auto"/>
        </w:rPr>
        <w:t>. The period of Executive’s employment under this Agreement shall commence on the Effective Date and shall continue until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The phrase “</w:t>
      </w:r>
      <w:r>
        <w:rPr>
          <w:rFonts w:ascii="Arial" w:cs="Arial" w:eastAsia="Arial" w:hAnsi="Arial"/>
          <w:sz w:val="18"/>
          <w:szCs w:val="18"/>
          <w:u w:val="single" w:color="auto"/>
          <w:color w:val="auto"/>
        </w:rPr>
        <w:t>Term of Employment</w:t>
      </w:r>
      <w:r>
        <w:rPr>
          <w:rFonts w:ascii="Arial" w:cs="Arial" w:eastAsia="Arial" w:hAnsi="Arial"/>
          <w:sz w:val="18"/>
          <w:szCs w:val="18"/>
          <w:color w:val="auto"/>
        </w:rPr>
        <w:t>” as used in this Agreement shall refer to the entire period of employment of Executive by the Company.</w:t>
      </w:r>
    </w:p>
    <w:p>
      <w:pPr>
        <w:spacing w:after="0" w:line="67" w:lineRule="exact"/>
        <w:rPr>
          <w:rFonts w:ascii="Arial" w:cs="Arial" w:eastAsia="Arial" w:hAnsi="Arial"/>
          <w:sz w:val="18"/>
          <w:szCs w:val="18"/>
          <w:b w:val="1"/>
          <w:bCs w:val="1"/>
          <w:color w:val="auto"/>
        </w:rPr>
      </w:pPr>
    </w:p>
    <w:p>
      <w:pPr>
        <w:ind w:left="560" w:hanging="184"/>
        <w:spacing w:after="0"/>
        <w:tabs>
          <w:tab w:leader="none" w:pos="5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60" w:right="60" w:firstLine="987"/>
        <w:spacing w:after="0" w:line="301" w:lineRule="auto"/>
        <w:tabs>
          <w:tab w:leader="none" w:pos="1186" w:val="left"/>
        </w:tabs>
        <w:numPr>
          <w:ilvl w:val="1"/>
          <w:numId w:val="223"/>
        </w:numPr>
        <w:rPr>
          <w:rFonts w:ascii="Arial" w:cs="Arial" w:eastAsia="Arial" w:hAnsi="Arial"/>
          <w:sz w:val="16"/>
          <w:szCs w:val="16"/>
          <w:b w:val="1"/>
          <w:bCs w:val="1"/>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Executive shall receive a base salary at the rate of $343,000 per annum (as may be increased from time to time, the “</w:t>
      </w:r>
      <w:r>
        <w:rPr>
          <w:rFonts w:ascii="Arial" w:cs="Arial" w:eastAsia="Arial" w:hAnsi="Arial"/>
          <w:sz w:val="16"/>
          <w:szCs w:val="16"/>
          <w:u w:val="single" w:color="auto"/>
          <w:color w:val="auto"/>
        </w:rPr>
        <w:t>Annual Base Salary</w:t>
      </w:r>
      <w:r>
        <w:rPr>
          <w:rFonts w:ascii="Arial" w:cs="Arial" w:eastAsia="Arial" w:hAnsi="Arial"/>
          <w:sz w:val="16"/>
          <w:szCs w:val="16"/>
          <w:color w:val="auto"/>
        </w:rPr>
        <w:t>”), subject to withholdings and deductions and as adjusted for part time status, which shall be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not less than annually, and may be increased, but not decreased, in connection with any such review.</w:t>
      </w:r>
    </w:p>
    <w:p>
      <w:pPr>
        <w:spacing w:after="0" w:line="49" w:lineRule="exact"/>
        <w:rPr>
          <w:rFonts w:ascii="Arial" w:cs="Arial" w:eastAsia="Arial" w:hAnsi="Arial"/>
          <w:sz w:val="16"/>
          <w:szCs w:val="16"/>
          <w:b w:val="1"/>
          <w:bCs w:val="1"/>
          <w:color w:val="auto"/>
        </w:rPr>
      </w:pPr>
    </w:p>
    <w:p>
      <w:pPr>
        <w:jc w:val="both"/>
        <w:ind w:left="-60" w:right="60" w:firstLine="987"/>
        <w:spacing w:after="0" w:line="259" w:lineRule="auto"/>
        <w:tabs>
          <w:tab w:leader="none" w:pos="1196" w:val="left"/>
        </w:tabs>
        <w:numPr>
          <w:ilvl w:val="1"/>
          <w:numId w:val="223"/>
        </w:numPr>
        <w:rPr>
          <w:rFonts w:ascii="Arial" w:cs="Arial" w:eastAsia="Arial" w:hAnsi="Arial"/>
          <w:sz w:val="18"/>
          <w:szCs w:val="18"/>
          <w:b w:val="1"/>
          <w:bCs w:val="1"/>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Executive shall be eligible to receive a discretionary annual bonus based on Executive’s achievement of performance objectives as mutually agreed between Executive and the CEO, such bonus target to be equal to 30% of Executive’s Annual Base Salary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Any Annual Bonus earned will be paid at the same time annual bonuses are paid to other executives of the Company generally, subject to any limitations on payment as set forth in Section 6.</w:t>
      </w:r>
    </w:p>
    <w:p>
      <w:pPr>
        <w:spacing w:after="0" w:line="78" w:lineRule="exact"/>
        <w:rPr>
          <w:rFonts w:ascii="Arial" w:cs="Arial" w:eastAsia="Arial" w:hAnsi="Arial"/>
          <w:sz w:val="18"/>
          <w:szCs w:val="18"/>
          <w:b w:val="1"/>
          <w:bCs w:val="1"/>
          <w:color w:val="auto"/>
        </w:rPr>
      </w:pPr>
    </w:p>
    <w:p>
      <w:pPr>
        <w:ind w:left="-60" w:right="120" w:firstLine="987"/>
        <w:spacing w:after="0" w:line="286" w:lineRule="auto"/>
        <w:tabs>
          <w:tab w:leader="none" w:pos="1176" w:val="left"/>
        </w:tabs>
        <w:numPr>
          <w:ilvl w:val="1"/>
          <w:numId w:val="223"/>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57" w:lineRule="exact"/>
        <w:rPr>
          <w:rFonts w:ascii="Arial" w:cs="Arial" w:eastAsia="Arial" w:hAnsi="Arial"/>
          <w:sz w:val="17"/>
          <w:szCs w:val="17"/>
          <w:b w:val="1"/>
          <w:bCs w:val="1"/>
          <w:color w:val="auto"/>
        </w:rPr>
      </w:pPr>
    </w:p>
    <w:p>
      <w:pPr>
        <w:ind w:left="-60" w:right="140" w:firstLine="987"/>
        <w:spacing w:after="0" w:line="259" w:lineRule="auto"/>
        <w:tabs>
          <w:tab w:leader="none" w:pos="1196" w:val="left"/>
        </w:tabs>
        <w:numPr>
          <w:ilvl w:val="1"/>
          <w:numId w:val="223"/>
        </w:numPr>
        <w:rPr>
          <w:rFonts w:ascii="Arial" w:cs="Arial" w:eastAsia="Arial" w:hAnsi="Arial"/>
          <w:sz w:val="18"/>
          <w:szCs w:val="18"/>
          <w:b w:val="1"/>
          <w:bCs w:val="1"/>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The Company will also cover the expense of travel, room and board when working from Company headquarters in Carlsbad, CA.</w:t>
      </w:r>
    </w:p>
    <w:p>
      <w:pPr>
        <w:spacing w:after="0" w:line="78" w:lineRule="exact"/>
        <w:rPr>
          <w:rFonts w:ascii="Arial" w:cs="Arial" w:eastAsia="Arial" w:hAnsi="Arial"/>
          <w:sz w:val="18"/>
          <w:szCs w:val="18"/>
          <w:b w:val="1"/>
          <w:bCs w:val="1"/>
          <w:color w:val="auto"/>
        </w:rPr>
      </w:pPr>
    </w:p>
    <w:p>
      <w:pPr>
        <w:ind w:left="-60" w:right="40" w:firstLine="987"/>
        <w:spacing w:after="0" w:line="277" w:lineRule="auto"/>
        <w:tabs>
          <w:tab w:leader="none" w:pos="1176" w:val="left"/>
        </w:tabs>
        <w:numPr>
          <w:ilvl w:val="1"/>
          <w:numId w:val="223"/>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not less than fifteen (15) business days of paid vacation each calendar year, pro-rated for partial calendar years of service, which may be taken in accordance with the Company’s vacation policy.</w:t>
      </w:r>
    </w:p>
    <w:p>
      <w:pPr>
        <w:spacing w:after="0" w:line="62" w:lineRule="exact"/>
        <w:rPr>
          <w:rFonts w:ascii="Arial" w:cs="Arial" w:eastAsia="Arial" w:hAnsi="Arial"/>
          <w:sz w:val="18"/>
          <w:szCs w:val="18"/>
          <w:b w:val="1"/>
          <w:bCs w:val="1"/>
          <w:color w:val="auto"/>
        </w:rPr>
      </w:pPr>
    </w:p>
    <w:p>
      <w:pPr>
        <w:ind w:left="1160" w:hanging="233"/>
        <w:spacing w:after="0"/>
        <w:tabs>
          <w:tab w:leader="none" w:pos="1160" w:val="left"/>
        </w:tabs>
        <w:numPr>
          <w:ilvl w:val="1"/>
          <w:numId w:val="223"/>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shall be eligible to receive grants of equity awards in the Company’s sole discretion.</w:t>
      </w:r>
    </w:p>
    <w:p>
      <w:pPr>
        <w:spacing w:after="0" w:line="117" w:lineRule="exact"/>
        <w:rPr>
          <w:rFonts w:ascii="Arial" w:cs="Arial" w:eastAsia="Arial" w:hAnsi="Arial"/>
          <w:sz w:val="18"/>
          <w:szCs w:val="18"/>
          <w:b w:val="1"/>
          <w:bCs w:val="1"/>
          <w:color w:val="auto"/>
        </w:rPr>
      </w:pPr>
    </w:p>
    <w:p>
      <w:pPr>
        <w:jc w:val="both"/>
        <w:ind w:left="-60" w:firstLine="987"/>
        <w:spacing w:after="0" w:line="263" w:lineRule="auto"/>
        <w:tabs>
          <w:tab w:leader="none" w:pos="1186" w:val="left"/>
        </w:tabs>
        <w:numPr>
          <w:ilvl w:val="1"/>
          <w:numId w:val="223"/>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Agreement; Insurance</w:t>
      </w:r>
      <w:r>
        <w:rPr>
          <w:rFonts w:ascii="Arial" w:cs="Arial" w:eastAsia="Arial" w:hAnsi="Arial"/>
          <w:sz w:val="18"/>
          <w:szCs w:val="18"/>
          <w:color w:val="auto"/>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70" w:right="519" w:bottom="1440" w:gutter="0" w:footer="0" w:header="0"/>
        </w:sectPr>
      </w:pPr>
    </w:p>
    <w:bookmarkStart w:id="314" w:name="page315"/>
    <w:bookmarkEnd w:id="314"/>
    <w:p>
      <w:pPr>
        <w:ind w:left="4" w:right="40" w:firstLine="436"/>
        <w:spacing w:after="0" w:line="270" w:lineRule="auto"/>
        <w:tabs>
          <w:tab w:leader="none" w:pos="624" w:val="left"/>
        </w:tabs>
        <w:numPr>
          <w:ilvl w:val="1"/>
          <w:numId w:val="2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Acceleration of Equity Awards Upon a Change in Control</w:t>
      </w:r>
      <w:r>
        <w:rPr>
          <w:rFonts w:ascii="Arial" w:cs="Arial" w:eastAsia="Arial" w:hAnsi="Arial"/>
          <w:sz w:val="17"/>
          <w:szCs w:val="17"/>
          <w:color w:val="auto"/>
        </w:rPr>
        <w:t>. Notwithstanding anything herein to the contrary, in the event of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vesting of Executive’s then outstanding options, restricted stock and other equity awards covering shares of the Company’s common stock (collectively, “</w:t>
      </w:r>
      <w:r>
        <w:rPr>
          <w:rFonts w:ascii="Arial" w:cs="Arial" w:eastAsia="Arial" w:hAnsi="Arial"/>
          <w:sz w:val="17"/>
          <w:szCs w:val="17"/>
          <w:u w:val="single" w:color="auto"/>
          <w:color w:val="auto"/>
        </w:rPr>
        <w:t>Equity Awards</w:t>
      </w:r>
      <w:r>
        <w:rPr>
          <w:rFonts w:ascii="Arial" w:cs="Arial" w:eastAsia="Arial" w:hAnsi="Arial"/>
          <w:sz w:val="17"/>
          <w:szCs w:val="17"/>
          <w:color w:val="auto"/>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68" w:lineRule="exact"/>
        <w:rPr>
          <w:rFonts w:ascii="Arial" w:cs="Arial" w:eastAsia="Arial" w:hAnsi="Arial"/>
          <w:sz w:val="17"/>
          <w:szCs w:val="17"/>
          <w:b w:val="1"/>
          <w:bCs w:val="1"/>
          <w:color w:val="auto"/>
        </w:rPr>
      </w:pPr>
    </w:p>
    <w:p>
      <w:pPr>
        <w:ind w:left="624" w:hanging="184"/>
        <w:spacing w:after="0"/>
        <w:tabs>
          <w:tab w:leader="none" w:pos="624" w:val="left"/>
        </w:tabs>
        <w:numPr>
          <w:ilvl w:val="1"/>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290" w:lineRule="auto"/>
        <w:tabs>
          <w:tab w:leader="none" w:pos="1250" w:val="left"/>
        </w:tabs>
        <w:numPr>
          <w:ilvl w:val="2"/>
          <w:numId w:val="224"/>
        </w:numPr>
        <w:rPr>
          <w:rFonts w:ascii="Arial" w:cs="Arial" w:eastAsia="Arial" w:hAnsi="Arial"/>
          <w:sz w:val="16"/>
          <w:szCs w:val="16"/>
          <w:b w:val="1"/>
          <w:bCs w:val="1"/>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CEO. If Executive’s employment terminates for any lawful reason, Executive shall not be entitled to any payments, benefits, Equity Awards or other compensation other than as provided in this Agreement.</w:t>
      </w:r>
    </w:p>
    <w:p>
      <w:pPr>
        <w:spacing w:after="0" w:line="57" w:lineRule="exact"/>
        <w:rPr>
          <w:rFonts w:ascii="Arial" w:cs="Arial" w:eastAsia="Arial" w:hAnsi="Arial"/>
          <w:sz w:val="16"/>
          <w:szCs w:val="16"/>
          <w:b w:val="1"/>
          <w:bCs w:val="1"/>
          <w:color w:val="auto"/>
        </w:rPr>
      </w:pPr>
    </w:p>
    <w:p>
      <w:pPr>
        <w:ind w:left="4" w:right="20" w:firstLine="987"/>
        <w:spacing w:after="0" w:line="291" w:lineRule="auto"/>
        <w:tabs>
          <w:tab w:leader="none" w:pos="1260" w:val="left"/>
        </w:tabs>
        <w:numPr>
          <w:ilvl w:val="2"/>
          <w:numId w:val="224"/>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During the Term of Employment, any termination of Executive’s employment by the Company or by Executive (other than by reason of death) shall be communicated by written notice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from one Party hereto to the other Party hereto</w:t>
      </w:r>
    </w:p>
    <w:p>
      <w:pPr>
        <w:ind w:left="4" w:hanging="4"/>
        <w:spacing w:after="0" w:line="269" w:lineRule="auto"/>
        <w:tabs>
          <w:tab w:leader="none" w:pos="21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15" w:name="page316"/>
    <w:bookmarkEnd w:id="315"/>
    <w:p>
      <w:pPr>
        <w:ind w:left="4" w:right="220" w:firstLine="987"/>
        <w:spacing w:after="0" w:line="263" w:lineRule="auto"/>
        <w:tabs>
          <w:tab w:leader="none" w:pos="1240" w:val="left"/>
        </w:tabs>
        <w:numPr>
          <w:ilvl w:val="2"/>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Deemed Resignation</w:t>
      </w:r>
      <w:r>
        <w:rPr>
          <w:rFonts w:ascii="Arial" w:cs="Arial" w:eastAsia="Arial" w:hAnsi="Arial"/>
          <w:sz w:val="18"/>
          <w:szCs w:val="18"/>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71" w:lineRule="exact"/>
        <w:rPr>
          <w:rFonts w:ascii="Arial" w:cs="Arial" w:eastAsia="Arial" w:hAnsi="Arial"/>
          <w:sz w:val="18"/>
          <w:szCs w:val="18"/>
          <w:b w:val="1"/>
          <w:bCs w:val="1"/>
          <w:color w:val="auto"/>
        </w:rPr>
      </w:pPr>
    </w:p>
    <w:p>
      <w:pPr>
        <w:ind w:left="624" w:hanging="184"/>
        <w:spacing w:after="0"/>
        <w:tabs>
          <w:tab w:leader="none" w:pos="624" w:val="left"/>
        </w:tabs>
        <w:numPr>
          <w:ilvl w:val="1"/>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Consequences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60" w:firstLine="987"/>
        <w:spacing w:after="0" w:line="311" w:lineRule="auto"/>
        <w:tabs>
          <w:tab w:leader="none" w:pos="1250" w:val="left"/>
        </w:tabs>
        <w:numPr>
          <w:ilvl w:val="2"/>
          <w:numId w:val="227"/>
        </w:numPr>
        <w:rPr>
          <w:rFonts w:ascii="Arial" w:cs="Arial" w:eastAsia="Arial" w:hAnsi="Arial"/>
          <w:sz w:val="16"/>
          <w:szCs w:val="16"/>
          <w:b w:val="1"/>
          <w:bCs w:val="1"/>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the event Executive’s employment with the Company terminates pursuant to Section 5, then Executive shall be entitled to the applicable payments and benefits set forth below subject to Executive delivering to the Company a waiver and release of claims agreement in standard reasonable form approved by the Company that becomes effective and irrevocable in accordance with Section 7 hereof (a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40" w:lineRule="exact"/>
        <w:rPr>
          <w:rFonts w:ascii="Arial" w:cs="Arial" w:eastAsia="Arial" w:hAnsi="Arial"/>
          <w:sz w:val="16"/>
          <w:szCs w:val="16"/>
          <w:b w:val="1"/>
          <w:bCs w:val="1"/>
          <w:color w:val="auto"/>
        </w:rPr>
      </w:pPr>
    </w:p>
    <w:p>
      <w:pPr>
        <w:ind w:left="4" w:right="40" w:firstLine="987"/>
        <w:spacing w:after="0" w:line="285" w:lineRule="auto"/>
        <w:tabs>
          <w:tab w:leader="none" w:pos="1260" w:val="left"/>
        </w:tabs>
        <w:numPr>
          <w:ilvl w:val="2"/>
          <w:numId w:val="227"/>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Payments upon Termination by the Company for Cause or by Executive Without Good Reason</w:t>
      </w:r>
      <w:r>
        <w:rPr>
          <w:rFonts w:ascii="Arial" w:cs="Arial" w:eastAsia="Arial" w:hAnsi="Arial"/>
          <w:sz w:val="16"/>
          <w:szCs w:val="16"/>
          <w:color w:val="auto"/>
        </w:rPr>
        <w:t>. Upon a termination of Executive’s employment with the Company at any time for Cause, Executive (or Executive’s estate or legal representative, as applicable) shall be entitled to receive, within thirty (30) days of the effective date of termination of employment with the Company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3(e) above; and</w:t>
      </w:r>
    </w:p>
    <w:p>
      <w:pPr>
        <w:spacing w:after="0" w:line="1" w:lineRule="exact"/>
        <w:rPr>
          <w:rFonts w:ascii="Arial" w:cs="Arial" w:eastAsia="Arial" w:hAnsi="Arial"/>
          <w:sz w:val="16"/>
          <w:szCs w:val="16"/>
          <w:b w:val="1"/>
          <w:bCs w:val="1"/>
          <w:color w:val="auto"/>
        </w:rPr>
      </w:pPr>
    </w:p>
    <w:p>
      <w:pPr>
        <w:ind w:left="4" w:right="40" w:hanging="4"/>
        <w:spacing w:after="0" w:line="252" w:lineRule="auto"/>
        <w:tabs>
          <w:tab w:leader="none" w:pos="31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accrued but unused paid time-off owed to Executive ((i)-(iii) defined as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 Any termination of employment by Executive without Good Reason shall be deemed, and shall be treated as, a termination for “Cause”, and accordingly, the Company shall only be obligated to pay to Executive the amounts described in this Section 6(b).</w:t>
      </w:r>
    </w:p>
    <w:p>
      <w:pPr>
        <w:spacing w:after="0" w:line="85" w:lineRule="exact"/>
        <w:rPr>
          <w:rFonts w:ascii="Arial" w:cs="Arial" w:eastAsia="Arial" w:hAnsi="Arial"/>
          <w:sz w:val="18"/>
          <w:szCs w:val="18"/>
          <w:color w:val="auto"/>
        </w:rPr>
      </w:pPr>
    </w:p>
    <w:p>
      <w:pPr>
        <w:ind w:left="4" w:right="580" w:firstLine="987"/>
        <w:spacing w:after="0" w:line="342" w:lineRule="auto"/>
        <w:tabs>
          <w:tab w:leader="none" w:pos="1240" w:val="left"/>
        </w:tabs>
        <w:numPr>
          <w:ilvl w:val="2"/>
          <w:numId w:val="228"/>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Outside a Change in Control Period</w:t>
      </w:r>
      <w:r>
        <w:rPr>
          <w:rFonts w:ascii="Arial" w:cs="Arial" w:eastAsia="Arial" w:hAnsi="Arial"/>
          <w:sz w:val="16"/>
          <w:szCs w:val="16"/>
          <w:color w:val="auto"/>
        </w:rPr>
        <w:t>. If, outside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4" w:hanging="212"/>
        <w:spacing w:after="0"/>
        <w:tabs>
          <w:tab w:leader="none" w:pos="1644" w:val="left"/>
        </w:tabs>
        <w:numPr>
          <w:ilvl w:val="3"/>
          <w:numId w:val="228"/>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4" w:right="360" w:firstLine="1428"/>
        <w:spacing w:after="0" w:line="277" w:lineRule="auto"/>
        <w:tabs>
          <w:tab w:leader="none" w:pos="1701" w:val="left"/>
        </w:tabs>
        <w:numPr>
          <w:ilvl w:val="3"/>
          <w:numId w:val="228"/>
        </w:numPr>
        <w:rPr>
          <w:rFonts w:ascii="Arial" w:cs="Arial" w:eastAsia="Arial" w:hAnsi="Arial"/>
          <w:sz w:val="18"/>
          <w:szCs w:val="18"/>
          <w:b w:val="1"/>
          <w:bCs w:val="1"/>
          <w:color w:val="auto"/>
        </w:rPr>
      </w:pPr>
      <w:r>
        <w:rPr>
          <w:rFonts w:ascii="Arial" w:cs="Arial" w:eastAsia="Arial" w:hAnsi="Arial"/>
          <w:sz w:val="18"/>
          <w:szCs w:val="18"/>
          <w:color w:val="auto"/>
        </w:rPr>
        <w:t>an amount in cash equal to (A) twelve months of Executive’s Annual Base Salary plus (B) Executive’s target Annual Bonus, pro-rated based on the total number of days elapsed in the calendar year as of Executive’s Date of Termination;</w:t>
      </w:r>
    </w:p>
    <w:p>
      <w:pPr>
        <w:spacing w:after="0" w:line="62" w:lineRule="exact"/>
        <w:rPr>
          <w:rFonts w:ascii="Arial" w:cs="Arial" w:eastAsia="Arial" w:hAnsi="Arial"/>
          <w:sz w:val="18"/>
          <w:szCs w:val="18"/>
          <w:b w:val="1"/>
          <w:bCs w:val="1"/>
          <w:color w:val="auto"/>
        </w:rPr>
      </w:pPr>
    </w:p>
    <w:p>
      <w:pPr>
        <w:jc w:val="both"/>
        <w:ind w:left="4" w:firstLine="1428"/>
        <w:spacing w:after="0" w:line="263" w:lineRule="auto"/>
        <w:tabs>
          <w:tab w:leader="none" w:pos="1751" w:val="left"/>
        </w:tabs>
        <w:numPr>
          <w:ilvl w:val="3"/>
          <w:numId w:val="228"/>
        </w:numPr>
        <w:rPr>
          <w:rFonts w:ascii="Arial" w:cs="Arial" w:eastAsia="Arial" w:hAnsi="Arial"/>
          <w:sz w:val="18"/>
          <w:szCs w:val="18"/>
          <w:b w:val="1"/>
          <w:bCs w:val="1"/>
          <w:color w:val="auto"/>
        </w:rPr>
      </w:pPr>
      <w:r>
        <w:rPr>
          <w:rFonts w:ascii="Arial" w:cs="Arial" w:eastAsia="Arial" w:hAnsi="Arial"/>
          <w:sz w:val="18"/>
          <w:szCs w:val="18"/>
          <w:color w:val="auto"/>
        </w:rPr>
        <w:t>fifty percent (50%) of the unvested Equity Awards held by the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16" w:name="page317"/>
    <w:bookmarkEnd w:id="316"/>
    <w:p>
      <w:pPr>
        <w:ind w:right="20" w:firstLine="1428"/>
        <w:spacing w:after="0" w:line="287" w:lineRule="auto"/>
        <w:tabs>
          <w:tab w:leader="none" w:pos="1737" w:val="left"/>
        </w:tabs>
        <w:numPr>
          <w:ilvl w:val="1"/>
          <w:numId w:val="22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period commencing on the Date of Termination and ending on the six-month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regulations thereunder (“</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Arial" w:cs="Arial" w:eastAsia="Arial" w:hAnsi="Arial"/>
          <w:sz w:val="16"/>
          <w:szCs w:val="16"/>
          <w:u w:val="single" w:color="auto"/>
          <w:color w:val="auto"/>
        </w:rPr>
        <w:t>Benefits Coverage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63" w:lineRule="exact"/>
        <w:rPr>
          <w:rFonts w:ascii="Arial" w:cs="Arial" w:eastAsia="Arial" w:hAnsi="Arial"/>
          <w:sz w:val="16"/>
          <w:szCs w:val="16"/>
          <w:b w:val="1"/>
          <w:bCs w:val="1"/>
          <w:color w:val="auto"/>
        </w:rPr>
      </w:pPr>
    </w:p>
    <w:p>
      <w:pPr>
        <w:ind w:right="660" w:firstLine="987"/>
        <w:spacing w:after="0" w:line="342" w:lineRule="auto"/>
        <w:tabs>
          <w:tab w:leader="none" w:pos="1256" w:val="left"/>
        </w:tabs>
        <w:numPr>
          <w:ilvl w:val="0"/>
          <w:numId w:val="230"/>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During a Change in Control Period</w:t>
      </w:r>
      <w:r>
        <w:rPr>
          <w:rFonts w:ascii="Arial" w:cs="Arial" w:eastAsia="Arial" w:hAnsi="Arial"/>
          <w:sz w:val="16"/>
          <w:szCs w:val="16"/>
          <w:color w:val="auto"/>
        </w:rPr>
        <w:t>. If, during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0" w:hanging="212"/>
        <w:spacing w:after="0"/>
        <w:tabs>
          <w:tab w:leader="none" w:pos="1640"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1700" w:hanging="272"/>
        <w:spacing w:after="0"/>
        <w:tabs>
          <w:tab w:leader="none" w:pos="1700"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t>an amount in cash equal to (A) eighteen months of Executive’s Annual Base Salary plus (B) Executive’s target Annual Bonus;</w:t>
      </w:r>
    </w:p>
    <w:p>
      <w:pPr>
        <w:spacing w:after="0" w:line="140" w:lineRule="exact"/>
        <w:rPr>
          <w:rFonts w:ascii="Arial" w:cs="Arial" w:eastAsia="Arial" w:hAnsi="Arial"/>
          <w:sz w:val="16"/>
          <w:szCs w:val="16"/>
          <w:b w:val="1"/>
          <w:bCs w:val="1"/>
          <w:color w:val="auto"/>
        </w:rPr>
      </w:pPr>
    </w:p>
    <w:p>
      <w:pPr>
        <w:jc w:val="both"/>
        <w:ind w:right="120" w:firstLine="1428"/>
        <w:spacing w:after="0" w:line="263" w:lineRule="auto"/>
        <w:tabs>
          <w:tab w:leader="none" w:pos="1747"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one hundred percent (100%) of all unvested Equity Awards held by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firstLine="1428"/>
        <w:spacing w:after="0" w:line="269" w:lineRule="auto"/>
        <w:tabs>
          <w:tab w:leader="none" w:pos="1737" w:val="left"/>
        </w:tabs>
        <w:numPr>
          <w:ilvl w:val="1"/>
          <w:numId w:val="230"/>
        </w:numPr>
        <w:rPr>
          <w:rFonts w:ascii="Arial" w:cs="Arial" w:eastAsia="Arial" w:hAnsi="Arial"/>
          <w:sz w:val="17"/>
          <w:szCs w:val="17"/>
          <w:b w:val="1"/>
          <w:bCs w:val="1"/>
          <w:color w:val="auto"/>
        </w:rPr>
      </w:pPr>
      <w:r>
        <w:rPr>
          <w:rFonts w:ascii="Arial" w:cs="Arial" w:eastAsia="Arial" w:hAnsi="Arial"/>
          <w:sz w:val="17"/>
          <w:szCs w:val="17"/>
          <w:color w:val="auto"/>
        </w:rPr>
        <w:t xml:space="preserve">during the period commencing on the Date of Termination and ending on the first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17" w:name="page318"/>
    <w:bookmarkEnd w:id="317"/>
    <w:p>
      <w:pPr>
        <w:ind w:right="80" w:firstLine="987"/>
        <w:spacing w:after="0" w:line="263" w:lineRule="auto"/>
        <w:tabs>
          <w:tab w:leader="none" w:pos="1236" w:val="left"/>
        </w:tabs>
        <w:numPr>
          <w:ilvl w:val="1"/>
          <w:numId w:val="23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Other Severance</w:t>
      </w:r>
      <w:r>
        <w:rPr>
          <w:rFonts w:ascii="Arial" w:cs="Arial" w:eastAsia="Arial" w:hAnsi="Arial"/>
          <w:sz w:val="18"/>
          <w:szCs w:val="18"/>
          <w:color w:val="auto"/>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75" w:lineRule="exact"/>
        <w:rPr>
          <w:rFonts w:ascii="Arial" w:cs="Arial" w:eastAsia="Arial" w:hAnsi="Arial"/>
          <w:sz w:val="18"/>
          <w:szCs w:val="18"/>
          <w:b w:val="1"/>
          <w:bCs w:val="1"/>
          <w:color w:val="auto"/>
        </w:rPr>
      </w:pPr>
    </w:p>
    <w:p>
      <w:pPr>
        <w:ind w:right="180" w:firstLine="987"/>
        <w:spacing w:after="0" w:line="263" w:lineRule="auto"/>
        <w:tabs>
          <w:tab w:leader="none" w:pos="1216" w:val="left"/>
        </w:tabs>
        <w:numPr>
          <w:ilvl w:val="1"/>
          <w:numId w:val="231"/>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71" w:lineRule="exact"/>
        <w:rPr>
          <w:rFonts w:ascii="Arial" w:cs="Arial" w:eastAsia="Arial" w:hAnsi="Arial"/>
          <w:sz w:val="18"/>
          <w:szCs w:val="18"/>
          <w:b w:val="1"/>
          <w:bCs w:val="1"/>
          <w:color w:val="auto"/>
        </w:rPr>
      </w:pPr>
    </w:p>
    <w:p>
      <w:pPr>
        <w:ind w:firstLine="436"/>
        <w:spacing w:after="0" w:line="286" w:lineRule="auto"/>
        <w:tabs>
          <w:tab w:leader="none" w:pos="620"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Notwithstanding anything to the contrary in this Agreement, any payments or other benefits due under this Agreement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are subject to Executive’s execution and delivery of a Release, (a) the Company shall deliver the Release to Executive within ten (10) business days following Executive’s Date of Termination, and the Company’s failure to deliver a Release prior to the expiration of such ten (10) business day period shall constitute a waiver of any requirement to execute a Release, (b) if Executive fails to execute the Release on or prior to the Release Expiration Date (as defined below) or timely revokes Executive’s acceptance of the Release thereafter, Executive shall not be entitled to any payments or benefits otherwise conditioned on the Release, and (c)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(as defined below) shall be made in the later taxable year. For purposes of this Section 7,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(as defined below)) due under this Agreement as a result of Executive’s termination of employment are delayed pursuant to this Section 7, such amounts shall be paid in a lump sum on the first payroll date following the date that Executive executes and does not revoke the Release (and the applicable revocation period has expired) or, in the case of any payments subject to Section 7(c), on the first payroll period to occur in the subsequent taxable year, if later.</w:t>
      </w:r>
    </w:p>
    <w:p>
      <w:pPr>
        <w:spacing w:after="0" w:line="59" w:lineRule="exact"/>
        <w:rPr>
          <w:rFonts w:ascii="Arial" w:cs="Arial" w:eastAsia="Arial" w:hAnsi="Arial"/>
          <w:sz w:val="16"/>
          <w:szCs w:val="16"/>
          <w:b w:val="1"/>
          <w:bCs w:val="1"/>
          <w:color w:val="auto"/>
        </w:rPr>
      </w:pPr>
    </w:p>
    <w:p>
      <w:pPr>
        <w:ind w:firstLine="436"/>
        <w:spacing w:after="0" w:line="294" w:lineRule="auto"/>
        <w:tabs>
          <w:tab w:leader="none" w:pos="620"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color w:val="auto"/>
        </w:rPr>
        <w:t>. For a period of one (1) year following Executive’s Date of Termination, Executive shall not, either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18" w:name="page319"/>
    <w:bookmarkEnd w:id="318"/>
    <w:p>
      <w:pPr>
        <w:ind w:left="624" w:hanging="184"/>
        <w:spacing w:after="0"/>
        <w:tabs>
          <w:tab w:leader="none" w:pos="624"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Golden Parachute Excise Tax</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3" w:lineRule="auto"/>
        <w:tabs>
          <w:tab w:leader="none" w:pos="1250" w:val="left"/>
        </w:tabs>
        <w:numPr>
          <w:ilvl w:val="2"/>
          <w:numId w:val="233"/>
        </w:numPr>
        <w:rPr>
          <w:rFonts w:ascii="Arial" w:cs="Arial" w:eastAsia="Arial" w:hAnsi="Arial"/>
          <w:sz w:val="16"/>
          <w:szCs w:val="16"/>
          <w:b w:val="1"/>
          <w:bCs w:val="1"/>
          <w:color w:val="auto"/>
        </w:rPr>
      </w:pPr>
      <w:r>
        <w:rPr>
          <w:rFonts w:ascii="Arial" w:cs="Arial" w:eastAsia="Arial" w:hAnsi="Arial"/>
          <w:sz w:val="16"/>
          <w:szCs w:val="16"/>
          <w:u w:val="single" w:color="auto"/>
          <w:color w:val="auto"/>
        </w:rPr>
        <w:t>Best Pay</w:t>
      </w:r>
      <w:r>
        <w:rPr>
          <w:rFonts w:ascii="Arial" w:cs="Arial" w:eastAsia="Arial" w:hAnsi="Arial"/>
          <w:sz w:val="16"/>
          <w:szCs w:val="16"/>
          <w:color w:val="auto"/>
        </w:rPr>
        <w:t>. Any provision of this Agreement to the contrary notwithstanding, if any payment or benefit Executive would receive from the Company pursuant to this Agreement or otherwise (“</w:t>
      </w:r>
      <w:r>
        <w:rPr>
          <w:rFonts w:ascii="Arial" w:cs="Arial" w:eastAsia="Arial" w:hAnsi="Arial"/>
          <w:sz w:val="16"/>
          <w:szCs w:val="16"/>
          <w:u w:val="single" w:color="auto"/>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u w:val="single" w:color="auto"/>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u w:val="single" w:color="auto"/>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Arial" w:cs="Arial" w:eastAsia="Arial" w:hAnsi="Arial"/>
          <w:sz w:val="16"/>
          <w:szCs w:val="16"/>
          <w:b w:val="1"/>
          <w:bCs w:val="1"/>
          <w:color w:val="auto"/>
        </w:rPr>
      </w:pPr>
    </w:p>
    <w:p>
      <w:pPr>
        <w:ind w:left="4" w:right="180" w:hanging="4"/>
        <w:spacing w:after="0" w:line="295" w:lineRule="auto"/>
        <w:tabs>
          <w:tab w:leader="none" w:pos="25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53" w:lineRule="exact"/>
        <w:rPr>
          <w:rFonts w:ascii="Arial" w:cs="Arial" w:eastAsia="Arial" w:hAnsi="Arial"/>
          <w:sz w:val="16"/>
          <w:szCs w:val="16"/>
          <w:color w:val="auto"/>
        </w:rPr>
      </w:pPr>
    </w:p>
    <w:p>
      <w:pPr>
        <w:ind w:left="4" w:firstLine="987"/>
        <w:spacing w:after="0" w:line="289" w:lineRule="auto"/>
        <w:tabs>
          <w:tab w:leader="none" w:pos="1260" w:val="left"/>
        </w:tabs>
        <w:numPr>
          <w:ilvl w:val="2"/>
          <w:numId w:val="234"/>
        </w:numPr>
        <w:rPr>
          <w:rFonts w:ascii="Arial" w:cs="Arial" w:eastAsia="Arial" w:hAnsi="Arial"/>
          <w:sz w:val="16"/>
          <w:szCs w:val="16"/>
          <w:b w:val="1"/>
          <w:bCs w:val="1"/>
          <w:color w:val="auto"/>
        </w:rPr>
      </w:pP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engaged by the Company for general tax purposes as of the day prior to the Change in Control will perform the calculations set forth in Section 9(a)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0" w:right="479" w:bottom="1440" w:gutter="0" w:footer="0" w:header="0"/>
        </w:sectPr>
      </w:pPr>
    </w:p>
    <w:bookmarkStart w:id="319" w:name="page320"/>
    <w:bookmarkEnd w:id="319"/>
    <w:p>
      <w:pPr>
        <w:ind w:left="680" w:hanging="264"/>
        <w:spacing w:after="0"/>
        <w:tabs>
          <w:tab w:leader="none" w:pos="6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987"/>
        <w:spacing w:after="0" w:line="269" w:lineRule="auto"/>
        <w:tabs>
          <w:tab w:leader="none" w:pos="1226" w:val="left"/>
        </w:tabs>
        <w:numPr>
          <w:ilvl w:val="1"/>
          <w:numId w:val="235"/>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73" w:lineRule="exact"/>
        <w:rPr>
          <w:rFonts w:ascii="Arial" w:cs="Arial" w:eastAsia="Arial" w:hAnsi="Arial"/>
          <w:sz w:val="17"/>
          <w:szCs w:val="17"/>
          <w:b w:val="1"/>
          <w:bCs w:val="1"/>
          <w:color w:val="auto"/>
        </w:rPr>
      </w:pPr>
    </w:p>
    <w:p>
      <w:pPr>
        <w:ind w:left="-20" w:right="100" w:firstLine="987"/>
        <w:spacing w:after="0" w:line="290" w:lineRule="auto"/>
        <w:tabs>
          <w:tab w:leader="none" w:pos="1236" w:val="left"/>
        </w:tabs>
        <w:numPr>
          <w:ilvl w:val="1"/>
          <w:numId w:val="235"/>
        </w:numPr>
        <w:rPr>
          <w:rFonts w:ascii="Arial" w:cs="Arial" w:eastAsia="Arial" w:hAnsi="Arial"/>
          <w:sz w:val="16"/>
          <w:szCs w:val="16"/>
          <w:b w:val="1"/>
          <w:bCs w:val="1"/>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16"/>
          <w:szCs w:val="16"/>
          <w:u w:val="single" w:color="auto"/>
          <w:color w:val="auto"/>
        </w:rPr>
        <w:t>Separation from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57" w:lineRule="exact"/>
        <w:rPr>
          <w:rFonts w:ascii="Arial" w:cs="Arial" w:eastAsia="Arial" w:hAnsi="Arial"/>
          <w:sz w:val="16"/>
          <w:szCs w:val="16"/>
          <w:b w:val="1"/>
          <w:bCs w:val="1"/>
          <w:color w:val="auto"/>
        </w:rPr>
      </w:pPr>
    </w:p>
    <w:p>
      <w:pPr>
        <w:ind w:left="-20" w:right="40" w:firstLine="987"/>
        <w:spacing w:after="0" w:line="291" w:lineRule="auto"/>
        <w:tabs>
          <w:tab w:leader="none" w:pos="1216" w:val="left"/>
        </w:tabs>
        <w:numPr>
          <w:ilvl w:val="1"/>
          <w:numId w:val="235"/>
        </w:numPr>
        <w:rPr>
          <w:rFonts w:ascii="Arial" w:cs="Arial" w:eastAsia="Arial" w:hAnsi="Arial"/>
          <w:sz w:val="16"/>
          <w:szCs w:val="16"/>
          <w:b w:val="1"/>
          <w:bCs w:val="1"/>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320" w:name="page321"/>
    <w:bookmarkEnd w:id="320"/>
    <w:p>
      <w:pPr>
        <w:jc w:val="both"/>
        <w:ind w:left="4" w:right="40" w:firstLine="436"/>
        <w:spacing w:after="0" w:line="266" w:lineRule="auto"/>
        <w:tabs>
          <w:tab w:leader="none" w:pos="704"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Arial" w:cs="Arial" w:eastAsia="Arial" w:hAnsi="Arial"/>
          <w:sz w:val="18"/>
          <w:szCs w:val="18"/>
          <w:color w:val="auto"/>
        </w:rPr>
        <w:t>. The Company shall be entitled to withhold from any amounts payable under this Agreement any federal, state, local, or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or other taxes or charges which the Company is required to withhold. The Company shall be entitled to rely on an opinion of counsel if any questions as to the amount or requirement of withholding shall arise.</w:t>
      </w:r>
    </w:p>
    <w:p>
      <w:pPr>
        <w:spacing w:after="0" w:line="67" w:lineRule="exact"/>
        <w:rPr>
          <w:rFonts w:ascii="Arial" w:cs="Arial" w:eastAsia="Arial" w:hAnsi="Arial"/>
          <w:sz w:val="18"/>
          <w:szCs w:val="18"/>
          <w:b w:val="1"/>
          <w:bCs w:val="1"/>
          <w:color w:val="auto"/>
        </w:rPr>
      </w:pPr>
    </w:p>
    <w:p>
      <w:pPr>
        <w:ind w:left="704" w:hanging="264"/>
        <w:spacing w:after="0"/>
        <w:tabs>
          <w:tab w:leader="none" w:pos="704"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4" w:lineRule="auto"/>
        <w:tabs>
          <w:tab w:leader="none" w:pos="1250" w:val="left"/>
        </w:tabs>
        <w:numPr>
          <w:ilvl w:val="2"/>
          <w:numId w:val="236"/>
        </w:numPr>
        <w:rPr>
          <w:rFonts w:ascii="Arial" w:cs="Arial" w:eastAsia="Arial" w:hAnsi="Arial"/>
          <w:sz w:val="16"/>
          <w:szCs w:val="16"/>
          <w:b w:val="1"/>
          <w:bCs w:val="1"/>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w:t>
      </w:r>
    </w:p>
    <w:p>
      <w:pPr>
        <w:spacing w:after="0" w:line="4" w:lineRule="exact"/>
        <w:rPr>
          <w:rFonts w:ascii="Arial" w:cs="Arial" w:eastAsia="Arial" w:hAnsi="Arial"/>
          <w:sz w:val="16"/>
          <w:szCs w:val="16"/>
          <w:b w:val="1"/>
          <w:bCs w:val="1"/>
          <w:color w:val="auto"/>
        </w:rPr>
      </w:pPr>
    </w:p>
    <w:p>
      <w:pPr>
        <w:ind w:left="4" w:right="340" w:hanging="4"/>
        <w:spacing w:after="0" w:line="277" w:lineRule="auto"/>
        <w:tabs>
          <w:tab w:leader="none" w:pos="24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64" w:lineRule="exact"/>
        <w:rPr>
          <w:rFonts w:ascii="Arial" w:cs="Arial" w:eastAsia="Arial" w:hAnsi="Arial"/>
          <w:sz w:val="17"/>
          <w:szCs w:val="17"/>
          <w:color w:val="auto"/>
        </w:rPr>
      </w:pPr>
    </w:p>
    <w:p>
      <w:pPr>
        <w:ind w:left="4" w:firstLine="987"/>
        <w:spacing w:after="0" w:line="275" w:lineRule="auto"/>
        <w:tabs>
          <w:tab w:leader="none" w:pos="1260" w:val="left"/>
        </w:tabs>
        <w:numPr>
          <w:ilvl w:val="2"/>
          <w:numId w:val="237"/>
        </w:numPr>
        <w:rPr>
          <w:rFonts w:ascii="Arial" w:cs="Arial" w:eastAsia="Arial" w:hAnsi="Arial"/>
          <w:sz w:val="17"/>
          <w:szCs w:val="17"/>
          <w:b w:val="1"/>
          <w:bCs w:val="1"/>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68" w:lineRule="exact"/>
        <w:rPr>
          <w:rFonts w:ascii="Arial" w:cs="Arial" w:eastAsia="Arial" w:hAnsi="Arial"/>
          <w:sz w:val="17"/>
          <w:szCs w:val="17"/>
          <w:b w:val="1"/>
          <w:bCs w:val="1"/>
          <w:color w:val="auto"/>
        </w:rPr>
      </w:pPr>
    </w:p>
    <w:p>
      <w:pPr>
        <w:ind w:left="4" w:right="180" w:firstLine="987"/>
        <w:spacing w:after="0" w:line="259" w:lineRule="auto"/>
        <w:tabs>
          <w:tab w:leader="none" w:pos="1240" w:val="left"/>
        </w:tabs>
        <w:numPr>
          <w:ilvl w:val="2"/>
          <w:numId w:val="237"/>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78" w:lineRule="exact"/>
        <w:rPr>
          <w:rFonts w:ascii="Arial" w:cs="Arial" w:eastAsia="Arial" w:hAnsi="Arial"/>
          <w:sz w:val="18"/>
          <w:szCs w:val="18"/>
          <w:b w:val="1"/>
          <w:bCs w:val="1"/>
          <w:color w:val="auto"/>
        </w:rPr>
      </w:pPr>
    </w:p>
    <w:p>
      <w:pPr>
        <w:ind w:left="4" w:right="920" w:firstLine="987"/>
        <w:spacing w:after="0" w:line="277" w:lineRule="auto"/>
        <w:tabs>
          <w:tab w:leader="none" w:pos="1260" w:val="left"/>
        </w:tabs>
        <w:numPr>
          <w:ilvl w:val="2"/>
          <w:numId w:val="237"/>
        </w:numPr>
        <w:rPr>
          <w:rFonts w:ascii="Arial" w:cs="Arial" w:eastAsia="Arial" w:hAnsi="Arial"/>
          <w:sz w:val="18"/>
          <w:szCs w:val="18"/>
          <w:b w:val="1"/>
          <w:bCs w:val="1"/>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321" w:name="page322"/>
    <w:bookmarkEnd w:id="321"/>
    <w:p>
      <w:pPr>
        <w:ind w:left="-40" w:right="140" w:firstLine="987"/>
        <w:spacing w:after="0" w:line="273" w:lineRule="auto"/>
        <w:tabs>
          <w:tab w:leader="none" w:pos="1196" w:val="left"/>
        </w:tabs>
        <w:numPr>
          <w:ilvl w:val="0"/>
          <w:numId w:val="238"/>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69" w:lineRule="exact"/>
        <w:rPr>
          <w:rFonts w:ascii="Arial" w:cs="Arial" w:eastAsia="Arial" w:hAnsi="Arial"/>
          <w:sz w:val="17"/>
          <w:szCs w:val="17"/>
          <w:b w:val="1"/>
          <w:bCs w:val="1"/>
          <w:color w:val="auto"/>
        </w:rPr>
      </w:pPr>
    </w:p>
    <w:p>
      <w:pPr>
        <w:ind w:left="-40" w:right="40" w:firstLine="987"/>
        <w:spacing w:after="0" w:line="269" w:lineRule="auto"/>
        <w:tabs>
          <w:tab w:leader="none" w:pos="1176" w:val="left"/>
        </w:tabs>
        <w:numPr>
          <w:ilvl w:val="0"/>
          <w:numId w:val="238"/>
        </w:numPr>
        <w:rPr>
          <w:rFonts w:ascii="Arial" w:cs="Arial" w:eastAsia="Arial" w:hAnsi="Arial"/>
          <w:sz w:val="17"/>
          <w:szCs w:val="17"/>
          <w:b w:val="1"/>
          <w:bCs w:val="1"/>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Executive agrees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mutually selected by the Company and Executive. This means that disputes will be decided by an arbitrator rather than a court or jury, and that both Executive and the Company waive their respective rights to a court or jury trial. Judgment on the arbitration award may be entered in any court having jurisdiction. Nothing herein shall prevent either Party from pursuing injunctive relief in court (without having to post a bond) to avoid irreparable harm pending completion of any arbitration. Within twenty (20) days of the conclusion of the arbitration hearing, the arbitrator shall prepare written findings of fact and conclusions of law. Each party shall bear its own costs and attorneys’ fees in connection with arbitration;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pay all costs unique to arbitration, including the arbitrator’s fees and costs, that Executive would not be required to pay if the claim was in court. Executive shall be entitled to recover reasonable attorneys’ fees and costs incurred by Executive in any arbitration Executive initiates to enforce Executive’s rights under this Agreement and in which Executive is deemed to be the prevailing party.</w:t>
      </w:r>
    </w:p>
    <w:p>
      <w:pPr>
        <w:spacing w:after="0" w:line="73" w:lineRule="exact"/>
        <w:rPr>
          <w:rFonts w:ascii="Arial" w:cs="Arial" w:eastAsia="Arial" w:hAnsi="Arial"/>
          <w:sz w:val="17"/>
          <w:szCs w:val="17"/>
          <w:b w:val="1"/>
          <w:bCs w:val="1"/>
          <w:color w:val="auto"/>
        </w:rPr>
      </w:pPr>
    </w:p>
    <w:p>
      <w:pPr>
        <w:ind w:left="-40" w:right="20" w:firstLine="987"/>
        <w:spacing w:after="0" w:line="255" w:lineRule="auto"/>
        <w:tabs>
          <w:tab w:leader="none" w:pos="1206" w:val="left"/>
        </w:tabs>
        <w:numPr>
          <w:ilvl w:val="0"/>
          <w:numId w:val="238"/>
        </w:numPr>
        <w:rPr>
          <w:rFonts w:ascii="Arial" w:cs="Arial" w:eastAsia="Arial" w:hAnsi="Arial"/>
          <w:sz w:val="18"/>
          <w:szCs w:val="18"/>
          <w:b w:val="1"/>
          <w:bCs w:val="1"/>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4" w:lineRule="exact"/>
        <w:rPr>
          <w:rFonts w:ascii="Arial" w:cs="Arial" w:eastAsia="Arial" w:hAnsi="Arial"/>
          <w:sz w:val="18"/>
          <w:szCs w:val="18"/>
          <w:b w:val="1"/>
          <w:bCs w:val="1"/>
          <w:color w:val="auto"/>
        </w:rPr>
      </w:pPr>
    </w:p>
    <w:p>
      <w:pPr>
        <w:ind w:left="-40" w:firstLine="987"/>
        <w:spacing w:after="0" w:line="301" w:lineRule="auto"/>
        <w:tabs>
          <w:tab w:leader="none" w:pos="1216" w:val="left"/>
        </w:tabs>
        <w:numPr>
          <w:ilvl w:val="0"/>
          <w:numId w:val="238"/>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of this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4" w:right="499" w:bottom="1440" w:gutter="0" w:footer="0" w:header="0"/>
        </w:sectPr>
      </w:pPr>
    </w:p>
    <w:bookmarkStart w:id="322" w:name="page323"/>
    <w:bookmarkEnd w:id="322"/>
    <w:p>
      <w:pPr>
        <w:ind w:left="-160" w:firstLine="987"/>
        <w:spacing w:after="0" w:line="263" w:lineRule="auto"/>
        <w:tabs>
          <w:tab w:leader="none" w:pos="1046" w:val="left"/>
        </w:tabs>
        <w:numPr>
          <w:ilvl w:val="0"/>
          <w:numId w:val="239"/>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Acknowledgement</w:t>
      </w:r>
      <w:r>
        <w:rPr>
          <w:rFonts w:ascii="Arial" w:cs="Arial" w:eastAsia="Arial" w:hAnsi="Arial"/>
          <w:sz w:val="18"/>
          <w:szCs w:val="18"/>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75" w:lineRule="exact"/>
        <w:rPr>
          <w:rFonts w:ascii="Arial" w:cs="Arial" w:eastAsia="Arial" w:hAnsi="Arial"/>
          <w:sz w:val="18"/>
          <w:szCs w:val="18"/>
          <w:b w:val="1"/>
          <w:bCs w:val="1"/>
          <w:color w:val="auto"/>
        </w:rPr>
      </w:pPr>
    </w:p>
    <w:p>
      <w:pPr>
        <w:ind w:left="-160" w:right="260" w:firstLine="987"/>
        <w:spacing w:after="0" w:line="342" w:lineRule="auto"/>
        <w:tabs>
          <w:tab w:leader="none" w:pos="1056" w:val="left"/>
        </w:tabs>
        <w:numPr>
          <w:ilvl w:val="0"/>
          <w:numId w:val="239"/>
        </w:numPr>
        <w:rPr>
          <w:rFonts w:ascii="Arial" w:cs="Arial" w:eastAsia="Arial" w:hAnsi="Arial"/>
          <w:sz w:val="16"/>
          <w:szCs w:val="16"/>
          <w:b w:val="1"/>
          <w:bCs w:val="1"/>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80"/>
          </w:cols>
          <w:pgMar w:left="600" w:top="274" w:right="619" w:bottom="1440" w:gutter="0" w:footer="0" w:header="0"/>
        </w:sectPr>
      </w:pPr>
    </w:p>
    <w:bookmarkStart w:id="323" w:name="page324"/>
    <w:bookmarkEnd w:id="323"/>
    <w:p>
      <w:pPr>
        <w:jc w:val="right"/>
        <w:ind w:right="21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duly executed this Agreement as of the date and year first above written.</w:t>
      </w:r>
    </w:p>
    <w:p>
      <w:pPr>
        <w:spacing w:after="0" w:line="271" w:lineRule="exact"/>
        <w:rPr>
          <w:sz w:val="20"/>
          <w:szCs w:val="20"/>
          <w:color w:val="auto"/>
        </w:rPr>
      </w:pPr>
    </w:p>
    <w:p>
      <w:pPr>
        <w:jc w:val="right"/>
        <w:ind w:right="2160"/>
        <w:spacing w:after="0"/>
        <w:rPr>
          <w:sz w:val="20"/>
          <w:szCs w:val="20"/>
          <w:color w:val="auto"/>
        </w:rPr>
      </w:pPr>
      <w:r>
        <w:rPr>
          <w:rFonts w:ascii="Arial" w:cs="Arial" w:eastAsia="Arial" w:hAnsi="Arial"/>
          <w:sz w:val="18"/>
          <w:szCs w:val="18"/>
          <w:b w:val="1"/>
          <w:bCs w:val="1"/>
          <w:color w:val="auto"/>
        </w:rPr>
        <w:t>TYRA BIOSCIENCES,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Harris</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Todd Harris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Esther van den Boom</w:t>
            </w:r>
          </w:p>
        </w:tc>
      </w:tr>
    </w:tbl>
    <w:p>
      <w:pPr>
        <w:spacing w:after="0" w:line="2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Esther van den Boom</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ectPr>
          <w:pgSz w:w="11900" w:h="16838" w:orient="portrait"/>
          <w:cols w:equalWidth="0" w:num="1">
            <w:col w:w="10580"/>
          </w:cols>
          <w:pgMar w:left="880" w:top="274" w:right="439" w:bottom="1440" w:gutter="0" w:footer="0" w:header="0"/>
        </w:sectPr>
      </w:pPr>
    </w:p>
    <w:bookmarkStart w:id="324" w:name="page325"/>
    <w:bookmarkEnd w:id="3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defined terms used in this Appendix I that are not otherwise defined in this Appendix I shall have the meaning ascribed to such terms in the Employment Agreement to which this Appendix I relates.</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Acquiring Company</w:t>
      </w:r>
      <w:r>
        <w:rPr>
          <w:rFonts w:ascii="Arial" w:cs="Arial" w:eastAsia="Arial" w:hAnsi="Arial"/>
          <w:sz w:val="18"/>
          <w:szCs w:val="18"/>
          <w:color w:val="auto"/>
        </w:rPr>
        <w:t>” shall mean the resulting or surviving corporation, or the company issuing cash or securities (or its ultimate parent company), in a merger consolidation, tender offer or share exchange involving the Company, or the successor corporation to the Company (whether in any such transaction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the occurrence of any one or more of the following events or conditions:</w:t>
      </w:r>
    </w:p>
    <w:p>
      <w:pPr>
        <w:spacing w:after="0" w:line="121" w:lineRule="exact"/>
        <w:rPr>
          <w:sz w:val="20"/>
          <w:szCs w:val="20"/>
          <w:color w:val="auto"/>
        </w:rPr>
      </w:pPr>
    </w:p>
    <w:p>
      <w:pPr>
        <w:ind w:right="40" w:firstLine="987"/>
        <w:spacing w:after="0" w:line="342" w:lineRule="auto"/>
        <w:tabs>
          <w:tab w:leader="none" w:pos="1206" w:val="left"/>
        </w:tabs>
        <w:numPr>
          <w:ilvl w:val="0"/>
          <w:numId w:val="240"/>
        </w:numPr>
        <w:rPr>
          <w:rFonts w:ascii="Arial" w:cs="Arial" w:eastAsia="Arial" w:hAnsi="Arial"/>
          <w:sz w:val="16"/>
          <w:szCs w:val="16"/>
          <w:b w:val="1"/>
          <w:bCs w:val="1"/>
          <w:color w:val="auto"/>
        </w:rPr>
      </w:pPr>
      <w:r>
        <w:rPr>
          <w:rFonts w:ascii="Arial" w:cs="Arial" w:eastAsia="Arial" w:hAnsi="Arial"/>
          <w:sz w:val="16"/>
          <w:szCs w:val="16"/>
          <w:color w:val="auto"/>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spacing w:after="0" w:line="15" w:lineRule="exact"/>
        <w:rPr>
          <w:rFonts w:ascii="Arial" w:cs="Arial" w:eastAsia="Arial" w:hAnsi="Arial"/>
          <w:sz w:val="16"/>
          <w:szCs w:val="16"/>
          <w:b w:val="1"/>
          <w:bCs w:val="1"/>
          <w:color w:val="auto"/>
        </w:rPr>
      </w:pPr>
    </w:p>
    <w:p>
      <w:pPr>
        <w:ind w:right="300" w:firstLine="987"/>
        <w:spacing w:after="0" w:line="277" w:lineRule="auto"/>
        <w:tabs>
          <w:tab w:leader="none" w:pos="1256"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Executive’s dishonesty or other misconduct, if such dishonesty or other misconduct is intended to or likely to materially injure the business or reputation of the Company;</w:t>
      </w:r>
    </w:p>
    <w:p>
      <w:pPr>
        <w:spacing w:after="0" w:line="62" w:lineRule="exact"/>
        <w:rPr>
          <w:rFonts w:ascii="Arial" w:cs="Arial" w:eastAsia="Arial" w:hAnsi="Arial"/>
          <w:sz w:val="18"/>
          <w:szCs w:val="18"/>
          <w:b w:val="1"/>
          <w:bCs w:val="1"/>
          <w:color w:val="auto"/>
        </w:rPr>
      </w:pPr>
    </w:p>
    <w:p>
      <w:pPr>
        <w:ind w:left="1300" w:hanging="313"/>
        <w:spacing w:after="0"/>
        <w:tabs>
          <w:tab w:leader="none" w:pos="1300"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Executive’s conviction or no contest plea to any misdemeanor involving dishonesty, theft, fraud or moral turpitude, or any felony.</w:t>
      </w:r>
    </w:p>
    <w:p>
      <w:pPr>
        <w:spacing w:after="0" w:line="128" w:lineRule="exact"/>
        <w:rPr>
          <w:rFonts w:ascii="Arial" w:cs="Arial" w:eastAsia="Arial" w:hAnsi="Arial"/>
          <w:sz w:val="17"/>
          <w:szCs w:val="17"/>
          <w:b w:val="1"/>
          <w:bCs w:val="1"/>
          <w:color w:val="auto"/>
        </w:rPr>
      </w:pPr>
    </w:p>
    <w:p>
      <w:pPr>
        <w:ind w:right="160" w:firstLine="987"/>
        <w:spacing w:after="0" w:line="308" w:lineRule="auto"/>
        <w:tabs>
          <w:tab w:leader="none" w:pos="1296"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Executive’s insobriety or illegal use of drugs, chemicals or controlled substances either (A) in the course of performing Executive’s duties and responsibilities under this Agreement or (B) otherwise materially affecting the ability of Executive to perform the same;</w:t>
      </w:r>
    </w:p>
    <w:p>
      <w:pPr>
        <w:spacing w:after="0" w:line="38" w:lineRule="exact"/>
        <w:rPr>
          <w:rFonts w:ascii="Arial" w:cs="Arial" w:eastAsia="Arial" w:hAnsi="Arial"/>
          <w:sz w:val="17"/>
          <w:szCs w:val="17"/>
          <w:b w:val="1"/>
          <w:bCs w:val="1"/>
          <w:color w:val="auto"/>
        </w:rPr>
      </w:pPr>
    </w:p>
    <w:p>
      <w:pPr>
        <w:ind w:right="40" w:firstLine="987"/>
        <w:spacing w:after="0" w:line="277" w:lineRule="auto"/>
        <w:tabs>
          <w:tab w:leader="none" w:pos="1246"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Executive’s material breach of any written agreement with the Company or any of its affiliates or material violation of the Company’s Code of Conduct or any other material written policy of the Company; or</w:t>
      </w:r>
    </w:p>
    <w:p>
      <w:pPr>
        <w:spacing w:after="0" w:line="62" w:lineRule="exact"/>
        <w:rPr>
          <w:rFonts w:ascii="Arial" w:cs="Arial" w:eastAsia="Arial" w:hAnsi="Arial"/>
          <w:sz w:val="18"/>
          <w:szCs w:val="18"/>
          <w:b w:val="1"/>
          <w:bCs w:val="1"/>
          <w:color w:val="auto"/>
        </w:rPr>
      </w:pPr>
    </w:p>
    <w:p>
      <w:pPr>
        <w:ind w:left="1300" w:hanging="313"/>
        <w:spacing w:after="0"/>
        <w:tabs>
          <w:tab w:leader="none" w:pos="1300"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Any wanton or willful dereliction of duties by Executive.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shall mean the occurrence of any of the following events or circumstances:</w:t>
      </w:r>
    </w:p>
    <w:p>
      <w:pPr>
        <w:spacing w:after="0" w:line="117" w:lineRule="exact"/>
        <w:rPr>
          <w:sz w:val="20"/>
          <w:szCs w:val="20"/>
          <w:color w:val="auto"/>
        </w:rPr>
      </w:pPr>
    </w:p>
    <w:p>
      <w:pPr>
        <w:ind w:left="1200" w:hanging="213"/>
        <w:spacing w:after="0"/>
        <w:tabs>
          <w:tab w:leader="none" w:pos="1200"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any “person” (within the meaning of Section 13(d) or 14(d) of the Securities Exchange Act of 1934, as amended (the “</w:t>
      </w:r>
      <w:r>
        <w:rPr>
          <w:rFonts w:ascii="Arial" w:cs="Arial" w:eastAsia="Arial" w:hAnsi="Arial"/>
          <w:sz w:val="17"/>
          <w:szCs w:val="17"/>
          <w:b w:val="1"/>
          <w:bCs w:val="1"/>
          <w:color w:val="auto"/>
        </w:rPr>
        <w:t>Exchange</w:t>
      </w:r>
    </w:p>
    <w:p>
      <w:pPr>
        <w:spacing w:after="0" w:line="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Act</w:t>
      </w:r>
      <w:r>
        <w:rPr>
          <w:rFonts w:ascii="Arial" w:cs="Arial" w:eastAsia="Arial" w:hAnsi="Arial"/>
          <w:sz w:val="17"/>
          <w:szCs w:val="17"/>
          <w:color w:val="auto"/>
        </w:rPr>
        <w:t>”)), including a “group” within the meaning of such Section 13(d) but excluding the Company and any of its subsidiaries and any employee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plan sponsored or maintained by the Company or any subsidiary thereof, shall become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w:t>
      </w:r>
      <w:r>
        <w:rPr>
          <w:rFonts w:ascii="Arial" w:cs="Arial" w:eastAsia="Arial" w:hAnsi="Arial"/>
          <w:sz w:val="17"/>
          <w:szCs w:val="17"/>
          <w:b w:val="1"/>
          <w:bCs w:val="1"/>
          <w:color w:val="auto"/>
        </w:rPr>
        <w:t>Company Voting Securities</w:t>
      </w:r>
      <w:r>
        <w:rPr>
          <w:rFonts w:ascii="Arial" w:cs="Arial" w:eastAsia="Arial" w:hAnsi="Arial"/>
          <w:sz w:val="17"/>
          <w:szCs w:val="17"/>
          <w:color w:val="auto"/>
        </w:rPr>
        <w:t>”);</w:t>
      </w:r>
    </w:p>
    <w:p>
      <w:pPr>
        <w:sectPr>
          <w:pgSz w:w="11900" w:h="16838" w:orient="portrait"/>
          <w:cols w:equalWidth="0" w:num="1">
            <w:col w:w="10920"/>
          </w:cols>
          <w:pgMar w:left="440" w:top="270" w:right="539" w:bottom="1440" w:gutter="0" w:footer="0" w:header="0"/>
        </w:sectPr>
      </w:pPr>
    </w:p>
    <w:bookmarkStart w:id="325" w:name="page326"/>
    <w:bookmarkEnd w:id="325"/>
    <w:p>
      <w:pPr>
        <w:ind w:right="40" w:firstLine="987"/>
        <w:spacing w:after="0" w:line="273" w:lineRule="auto"/>
        <w:tabs>
          <w:tab w:leader="none" w:pos="1256"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consummation of a merger or consolidation involving the Company, or the acceptance by the stockholders of the Company of equity securities in a share exchange, where the Persons who were the beneficial owners of the Company Voting Securities outstanding immediately prior to such merger, consolidation or share exchange, do not beneficially own, directly or indirectly, immediately after such merger, consolidation or share exchange, securities representing more than fifty percent (50%) of the combined voting power of the then-outstanding Company Voting Securities or voting securities of the Acquiring Company in such merger, consolidation or share exchange, in substantially the same proportions as their ownership of the Company Voting Securities immediately prior to such merger, consolidation or share exchange;</w:t>
      </w:r>
    </w:p>
    <w:p>
      <w:pPr>
        <w:spacing w:after="0" w:line="69" w:lineRule="exact"/>
        <w:rPr>
          <w:rFonts w:ascii="Arial" w:cs="Arial" w:eastAsia="Arial" w:hAnsi="Arial"/>
          <w:sz w:val="17"/>
          <w:szCs w:val="17"/>
          <w:b w:val="1"/>
          <w:bCs w:val="1"/>
          <w:color w:val="auto"/>
        </w:rPr>
      </w:pPr>
    </w:p>
    <w:p>
      <w:pPr>
        <w:ind w:right="40" w:firstLine="987"/>
        <w:spacing w:after="0" w:line="275" w:lineRule="auto"/>
        <w:tabs>
          <w:tab w:leader="none" w:pos="1306"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a sale, exchange or other disposition or transfer (in one transaction or a series of related transactions) of all or substantially all of the assets of the Company; provided, however, that a Change in Control shall not be deemed to have occurred where: (x) the Company sells, exchanges or otherwise disposes or transfers all or substantially all of its assets to another Person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expressly assumes this Agreement; or</w:t>
      </w:r>
    </w:p>
    <w:p>
      <w:pPr>
        <w:spacing w:after="0" w:line="68" w:lineRule="exact"/>
        <w:rPr>
          <w:rFonts w:ascii="Arial" w:cs="Arial" w:eastAsia="Arial" w:hAnsi="Arial"/>
          <w:sz w:val="17"/>
          <w:szCs w:val="17"/>
          <w:b w:val="1"/>
          <w:bCs w:val="1"/>
          <w:color w:val="auto"/>
        </w:rPr>
      </w:pPr>
    </w:p>
    <w:p>
      <w:pPr>
        <w:ind w:firstLine="987"/>
        <w:spacing w:after="0" w:line="272" w:lineRule="auto"/>
        <w:tabs>
          <w:tab w:leader="none" w:pos="1296"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such time as the Continuing Directors (as defined below) do not constitute at least a majority of the Board (or, if applicable, the board of directors of a successor to the Company), where the term “Continuing Director” means at any date a member of the Board who was: (x) a member of the Board on the Effective Date; or (y)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shall be a Continuing Director).</w:t>
      </w:r>
    </w:p>
    <w:p>
      <w:pPr>
        <w:spacing w:after="0" w:line="17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 Period</w:t>
      </w:r>
      <w:r>
        <w:rPr>
          <w:rFonts w:ascii="Arial" w:cs="Arial" w:eastAsia="Arial" w:hAnsi="Arial"/>
          <w:sz w:val="18"/>
          <w:szCs w:val="18"/>
          <w:color w:val="auto"/>
        </w:rPr>
        <w:t>” shall mean the period commencing three (3) months prior to a Change in Control and ending on the eighteen (18)-month anniversary of the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permanent and total disability within the meaning of Section 22(e) of the Code.</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Good Reason</w:t>
      </w:r>
      <w:r>
        <w:rPr>
          <w:rFonts w:ascii="Arial" w:cs="Arial" w:eastAsia="Arial" w:hAnsi="Arial"/>
          <w:sz w:val="17"/>
          <w:szCs w:val="17"/>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your Annual Base Salary); (ii) a material reduction of Executive’s duties and responsibilities from those in effect on the Effective Date; (iii) the Company’s material breach of this Agreement (other than a reduction of your Annual Base Salary as part of a reduction in the base salaries of all or substantially all other similarly situated employees of the Company that is in the same proportion as the reduction in your Annual Base Salary); or (iv) the permanent, non-voluntary relocation of Executive’s principal place of employment that increases Executive’s</w:t>
      </w:r>
    </w:p>
    <w:p>
      <w:pPr>
        <w:sectPr>
          <w:pgSz w:w="11900" w:h="16838" w:orient="portrait"/>
          <w:cols w:equalWidth="0" w:num="1">
            <w:col w:w="11000"/>
          </w:cols>
          <w:pgMar w:left="440" w:top="274" w:right="459" w:bottom="1440" w:gutter="0" w:footer="0" w:header="0"/>
        </w:sectPr>
      </w:pPr>
    </w:p>
    <w:bookmarkStart w:id="326" w:name="page327"/>
    <w:bookmarkEnd w:id="32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one-way commute by more than thirty-five (35) miles, provided, that, in each case, Executive will not be deemed to have Good Reason unless (A)Executive first provides the Board with written notice of the condition giving rise to Good Reason within thirty (30)days of its initial occurrence, (B)the Company or the successor company fails to cure such condition within ten (10)days after receiving such written notice (the “Cure Period”), and (C)Executive’s resignation based on such Good Reason is effective within thirty (30)days after the expiration of the Cure Period.</w:t>
      </w:r>
    </w:p>
    <w:p>
      <w:pPr>
        <w:spacing w:after="0" w:line="16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Involuntary Termination</w:t>
      </w:r>
      <w:r>
        <w:rPr>
          <w:rFonts w:ascii="Arial" w:cs="Arial" w:eastAsia="Arial" w:hAnsi="Arial"/>
          <w:sz w:val="18"/>
          <w:szCs w:val="18"/>
          <w:color w:val="auto"/>
        </w:rPr>
        <w:t>” shall mean Executive’s termination (A) by the Company without Cause, (B) by Executive for Good Reason, (C) due to death or (D) due to Disability.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any individual, corporation, limited liability corporation, partnership, or other business entity.</w:t>
      </w:r>
    </w:p>
    <w:p>
      <w:pPr>
        <w:sectPr>
          <w:pgSz w:w="11900" w:h="16838" w:orient="portrait"/>
          <w:cols w:equalWidth="0" w:num="1">
            <w:col w:w="10840"/>
          </w:cols>
          <w:pgMar w:left="440" w:top="274" w:right="61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i w:val="1"/>
          <w:iCs w:val="1"/>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560" w:firstLine="440"/>
        <w:spacing w:after="0" w:line="286" w:lineRule="auto"/>
        <w:rPr>
          <w:sz w:val="20"/>
          <w:szCs w:val="20"/>
          <w:color w:val="auto"/>
        </w:rPr>
      </w:pPr>
      <w:r>
        <w:rPr>
          <w:rFonts w:ascii="Arial" w:cs="Arial" w:eastAsia="Arial" w:hAnsi="Arial"/>
          <w:sz w:val="17"/>
          <w:szCs w:val="17"/>
          <w:color w:val="auto"/>
        </w:rPr>
        <w:t>This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this 16th day of January,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Tyra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Ronald Swanson (“</w:t>
      </w:r>
      <w:r>
        <w:rPr>
          <w:rFonts w:ascii="Arial" w:cs="Arial" w:eastAsia="Arial" w:hAnsi="Arial"/>
          <w:sz w:val="17"/>
          <w:szCs w:val="17"/>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Capitalized terms used herein and not otherwise defined shall have those meanings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 xml:space="preserve"> hereto.</w:t>
      </w:r>
    </w:p>
    <w:p>
      <w:pPr>
        <w:spacing w:after="0" w:line="16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retain the services of Executive by engaging Executive to perform services as an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hereof;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desires to provide services to the Company on the terms hereof.</w:t>
      </w:r>
    </w:p>
    <w:p>
      <w:pPr>
        <w:spacing w:after="0" w:line="225"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32" w:lineRule="exact"/>
        <w:rPr>
          <w:sz w:val="20"/>
          <w:szCs w:val="20"/>
          <w:color w:val="auto"/>
        </w:rPr>
      </w:pPr>
    </w:p>
    <w:p>
      <w:pPr>
        <w:ind w:left="620" w:hanging="184"/>
        <w:spacing w:after="0"/>
        <w:tabs>
          <w:tab w:leader="none" w:pos="62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243"/>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employ Executive upon the terms and conditions provided herein effective as of the Effective Date.</w:t>
      </w:r>
    </w:p>
    <w:p>
      <w:pPr>
        <w:spacing w:after="0" w:line="128" w:lineRule="exact"/>
        <w:rPr>
          <w:rFonts w:ascii="Arial" w:cs="Arial" w:eastAsia="Arial" w:hAnsi="Arial"/>
          <w:sz w:val="17"/>
          <w:szCs w:val="17"/>
          <w:b w:val="1"/>
          <w:bCs w:val="1"/>
          <w:color w:val="auto"/>
        </w:rPr>
      </w:pPr>
    </w:p>
    <w:p>
      <w:pPr>
        <w:ind w:right="240" w:firstLine="987"/>
        <w:spacing w:after="0" w:line="255" w:lineRule="auto"/>
        <w:tabs>
          <w:tab w:leader="none" w:pos="1256" w:val="left"/>
        </w:tabs>
        <w:numPr>
          <w:ilvl w:val="1"/>
          <w:numId w:val="243"/>
        </w:numPr>
        <w:rPr>
          <w:rFonts w:ascii="Arial" w:cs="Arial" w:eastAsia="Arial" w:hAnsi="Arial"/>
          <w:sz w:val="18"/>
          <w:szCs w:val="18"/>
          <w:b w:val="1"/>
          <w:bCs w:val="1"/>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on the Effective Date, Executive shall serve as the Company’s Chief Scientific Officer, with responsibilities, duties, and authority usual and customary for such position subject to direction by the Chief Executive Officer (the “</w:t>
      </w:r>
      <w:r>
        <w:rPr>
          <w:rFonts w:ascii="Arial" w:cs="Arial" w:eastAsia="Arial" w:hAnsi="Arial"/>
          <w:sz w:val="18"/>
          <w:szCs w:val="18"/>
          <w:u w:val="single" w:color="auto"/>
          <w:color w:val="auto"/>
        </w:rPr>
        <w:t>CEO</w:t>
      </w:r>
      <w:r>
        <w:rPr>
          <w:rFonts w:ascii="Arial" w:cs="Arial" w:eastAsia="Arial" w:hAnsi="Arial"/>
          <w:sz w:val="18"/>
          <w:szCs w:val="18"/>
          <w:color w:val="auto"/>
        </w:rPr>
        <w:t>”). During Executive’s employment with the Company, Executive shall report directly to the CEO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84" w:lineRule="exact"/>
        <w:rPr>
          <w:rFonts w:ascii="Arial" w:cs="Arial" w:eastAsia="Arial" w:hAnsi="Arial"/>
          <w:sz w:val="18"/>
          <w:szCs w:val="18"/>
          <w:b w:val="1"/>
          <w:bCs w:val="1"/>
          <w:color w:val="auto"/>
        </w:rPr>
      </w:pPr>
    </w:p>
    <w:p>
      <w:pPr>
        <w:ind w:right="80" w:firstLine="987"/>
        <w:spacing w:after="0" w:line="254" w:lineRule="auto"/>
        <w:tabs>
          <w:tab w:leader="none" w:pos="1236" w:val="left"/>
        </w:tabs>
        <w:numPr>
          <w:ilvl w:val="1"/>
          <w:numId w:val="243"/>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Executive’s Duties</w:t>
      </w:r>
      <w:r>
        <w:rPr>
          <w:rFonts w:ascii="Arial" w:cs="Arial" w:eastAsia="Arial" w:hAnsi="Arial"/>
          <w:sz w:val="18"/>
          <w:szCs w:val="18"/>
          <w:color w:val="auto"/>
        </w:rPr>
        <w:t xml:space="preserve">. During Executive’s employment with the Company, and except for periods of illness, vacation, Disability, or excused leaves of absence, Executive shall devote Executive’s full time and attention to the business and affairs of the Company pursuant to the general direction of the CEO;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preclude Executive from, subject to prior consent of the CEO: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activities do not individually or in the aggregate interfere with the performance of Executive’s duties under this Agreement, violate the Company’s standards of conduct then in effect or raise a conflict under the Company’s conflict of interest policies.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328" w:name="page329"/>
    <w:bookmarkEnd w:id="328"/>
    <w:p>
      <w:pPr>
        <w:ind w:left="-40" w:right="40" w:firstLine="436"/>
        <w:spacing w:after="0" w:line="266" w:lineRule="auto"/>
        <w:tabs>
          <w:tab w:leader="none" w:pos="5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w:t>
      </w:r>
      <w:r>
        <w:rPr>
          <w:rFonts w:ascii="Arial" w:cs="Arial" w:eastAsia="Arial" w:hAnsi="Arial"/>
          <w:sz w:val="18"/>
          <w:szCs w:val="18"/>
          <w:color w:val="auto"/>
        </w:rPr>
        <w:t>. The period of Executive’s employment under this Agreement shall commence on the Effective Date and shall continue until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The phrase “</w:t>
      </w:r>
      <w:r>
        <w:rPr>
          <w:rFonts w:ascii="Arial" w:cs="Arial" w:eastAsia="Arial" w:hAnsi="Arial"/>
          <w:sz w:val="18"/>
          <w:szCs w:val="18"/>
          <w:u w:val="single" w:color="auto"/>
          <w:color w:val="auto"/>
        </w:rPr>
        <w:t>Term of Employment</w:t>
      </w:r>
      <w:r>
        <w:rPr>
          <w:rFonts w:ascii="Arial" w:cs="Arial" w:eastAsia="Arial" w:hAnsi="Arial"/>
          <w:sz w:val="18"/>
          <w:szCs w:val="18"/>
          <w:color w:val="auto"/>
        </w:rPr>
        <w:t>” as used in this Agreement shall refer to the entire period of employment of Executive by the Company.</w:t>
      </w:r>
    </w:p>
    <w:p>
      <w:pPr>
        <w:spacing w:after="0" w:line="67" w:lineRule="exact"/>
        <w:rPr>
          <w:rFonts w:ascii="Arial" w:cs="Arial" w:eastAsia="Arial" w:hAnsi="Arial"/>
          <w:sz w:val="18"/>
          <w:szCs w:val="18"/>
          <w:b w:val="1"/>
          <w:bCs w:val="1"/>
          <w:color w:val="auto"/>
        </w:rPr>
      </w:pPr>
    </w:p>
    <w:p>
      <w:pPr>
        <w:ind w:left="580" w:hanging="184"/>
        <w:spacing w:after="0"/>
        <w:tabs>
          <w:tab w:leader="none" w:pos="5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0" w:firstLine="987"/>
        <w:spacing w:after="0" w:line="279" w:lineRule="auto"/>
        <w:tabs>
          <w:tab w:leader="none" w:pos="1206" w:val="left"/>
        </w:tabs>
        <w:numPr>
          <w:ilvl w:val="1"/>
          <w:numId w:val="244"/>
        </w:numPr>
        <w:rPr>
          <w:rFonts w:ascii="Arial" w:cs="Arial" w:eastAsia="Arial" w:hAnsi="Arial"/>
          <w:sz w:val="17"/>
          <w:szCs w:val="17"/>
          <w:b w:val="1"/>
          <w:bCs w:val="1"/>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Executive shall receive a base salary at the rate of $257,500 per annum (as may be increased from time to time,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 subject to withholdings and deductions, which shall be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not less than annually, and may be increased, but not decreased, in connection with any such review.</w:t>
      </w:r>
    </w:p>
    <w:p>
      <w:pPr>
        <w:spacing w:after="0" w:line="63" w:lineRule="exact"/>
        <w:rPr>
          <w:rFonts w:ascii="Arial" w:cs="Arial" w:eastAsia="Arial" w:hAnsi="Arial"/>
          <w:sz w:val="17"/>
          <w:szCs w:val="17"/>
          <w:b w:val="1"/>
          <w:bCs w:val="1"/>
          <w:color w:val="auto"/>
        </w:rPr>
      </w:pPr>
    </w:p>
    <w:p>
      <w:pPr>
        <w:jc w:val="both"/>
        <w:ind w:left="-40" w:right="80" w:firstLine="987"/>
        <w:spacing w:after="0" w:line="259" w:lineRule="auto"/>
        <w:tabs>
          <w:tab w:leader="none" w:pos="1216" w:val="left"/>
        </w:tabs>
        <w:numPr>
          <w:ilvl w:val="1"/>
          <w:numId w:val="244"/>
        </w:numPr>
        <w:rPr>
          <w:rFonts w:ascii="Arial" w:cs="Arial" w:eastAsia="Arial" w:hAnsi="Arial"/>
          <w:sz w:val="18"/>
          <w:szCs w:val="18"/>
          <w:b w:val="1"/>
          <w:bCs w:val="1"/>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Executive shall be eligible to receive a discretionary annual bonus based on Executive’s achievement of performance objectives as mutually agreed between Executive and the CEO, such bonus target to be equal to 30% of Executive’s Annual Base Salary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Any Annual Bonus earned will be paid at the same time annual bonuses are paid to other executives of the Company generally, subject to any limitations on payment as set forth in Section 6.</w:t>
      </w:r>
    </w:p>
    <w:p>
      <w:pPr>
        <w:spacing w:after="0" w:line="78" w:lineRule="exact"/>
        <w:rPr>
          <w:rFonts w:ascii="Arial" w:cs="Arial" w:eastAsia="Arial" w:hAnsi="Arial"/>
          <w:sz w:val="18"/>
          <w:szCs w:val="18"/>
          <w:b w:val="1"/>
          <w:bCs w:val="1"/>
          <w:color w:val="auto"/>
        </w:rPr>
      </w:pPr>
    </w:p>
    <w:p>
      <w:pPr>
        <w:ind w:left="-40" w:right="140" w:firstLine="987"/>
        <w:spacing w:after="0" w:line="286" w:lineRule="auto"/>
        <w:tabs>
          <w:tab w:leader="none" w:pos="1196" w:val="left"/>
        </w:tabs>
        <w:numPr>
          <w:ilvl w:val="1"/>
          <w:numId w:val="244"/>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57" w:lineRule="exact"/>
        <w:rPr>
          <w:rFonts w:ascii="Arial" w:cs="Arial" w:eastAsia="Arial" w:hAnsi="Arial"/>
          <w:sz w:val="17"/>
          <w:szCs w:val="17"/>
          <w:b w:val="1"/>
          <w:bCs w:val="1"/>
          <w:color w:val="auto"/>
        </w:rPr>
      </w:pPr>
    </w:p>
    <w:p>
      <w:pPr>
        <w:ind w:left="-40" w:right="160" w:firstLine="987"/>
        <w:spacing w:after="0" w:line="263" w:lineRule="auto"/>
        <w:tabs>
          <w:tab w:leader="none" w:pos="1216" w:val="left"/>
        </w:tabs>
        <w:numPr>
          <w:ilvl w:val="1"/>
          <w:numId w:val="244"/>
        </w:numPr>
        <w:rPr>
          <w:rFonts w:ascii="Arial" w:cs="Arial" w:eastAsia="Arial" w:hAnsi="Arial"/>
          <w:sz w:val="18"/>
          <w:szCs w:val="18"/>
          <w:b w:val="1"/>
          <w:bCs w:val="1"/>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75" w:lineRule="exact"/>
        <w:rPr>
          <w:rFonts w:ascii="Arial" w:cs="Arial" w:eastAsia="Arial" w:hAnsi="Arial"/>
          <w:sz w:val="18"/>
          <w:szCs w:val="18"/>
          <w:b w:val="1"/>
          <w:bCs w:val="1"/>
          <w:color w:val="auto"/>
        </w:rPr>
      </w:pPr>
    </w:p>
    <w:p>
      <w:pPr>
        <w:ind w:left="-40" w:right="60" w:firstLine="987"/>
        <w:spacing w:after="0" w:line="277" w:lineRule="auto"/>
        <w:tabs>
          <w:tab w:leader="none" w:pos="1196" w:val="left"/>
        </w:tabs>
        <w:numPr>
          <w:ilvl w:val="1"/>
          <w:numId w:val="244"/>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not less than fifteen (15) business days of paid vacation each calendar year, pro-rated for partial calendar years of service, which may be taken in accordance with the Company’s vacation policy.</w:t>
      </w:r>
    </w:p>
    <w:p>
      <w:pPr>
        <w:spacing w:after="0" w:line="62" w:lineRule="exact"/>
        <w:rPr>
          <w:rFonts w:ascii="Arial" w:cs="Arial" w:eastAsia="Arial" w:hAnsi="Arial"/>
          <w:sz w:val="18"/>
          <w:szCs w:val="18"/>
          <w:b w:val="1"/>
          <w:bCs w:val="1"/>
          <w:color w:val="auto"/>
        </w:rPr>
      </w:pPr>
    </w:p>
    <w:p>
      <w:pPr>
        <w:ind w:left="1180" w:hanging="233"/>
        <w:spacing w:after="0"/>
        <w:tabs>
          <w:tab w:leader="none" w:pos="1180" w:val="left"/>
        </w:tabs>
        <w:numPr>
          <w:ilvl w:val="1"/>
          <w:numId w:val="244"/>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shall be eligible to receive grants of equity awards in the Company’s sole discretion.</w:t>
      </w:r>
    </w:p>
    <w:p>
      <w:pPr>
        <w:spacing w:after="0" w:line="117" w:lineRule="exact"/>
        <w:rPr>
          <w:rFonts w:ascii="Arial" w:cs="Arial" w:eastAsia="Arial" w:hAnsi="Arial"/>
          <w:sz w:val="18"/>
          <w:szCs w:val="18"/>
          <w:b w:val="1"/>
          <w:bCs w:val="1"/>
          <w:color w:val="auto"/>
        </w:rPr>
      </w:pPr>
    </w:p>
    <w:p>
      <w:pPr>
        <w:jc w:val="both"/>
        <w:ind w:left="-40" w:right="20" w:firstLine="987"/>
        <w:spacing w:after="0" w:line="263" w:lineRule="auto"/>
        <w:tabs>
          <w:tab w:leader="none" w:pos="1206" w:val="left"/>
        </w:tabs>
        <w:numPr>
          <w:ilvl w:val="1"/>
          <w:numId w:val="244"/>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Agreement; Insurance</w:t>
      </w:r>
      <w:r>
        <w:rPr>
          <w:rFonts w:ascii="Arial" w:cs="Arial" w:eastAsia="Arial" w:hAnsi="Arial"/>
          <w:sz w:val="18"/>
          <w:szCs w:val="18"/>
          <w:color w:val="auto"/>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0" w:right="499" w:bottom="1440" w:gutter="0" w:footer="0" w:header="0"/>
        </w:sectPr>
      </w:pPr>
    </w:p>
    <w:bookmarkStart w:id="329" w:name="page330"/>
    <w:bookmarkEnd w:id="329"/>
    <w:p>
      <w:pPr>
        <w:ind w:left="4" w:right="40" w:firstLine="436"/>
        <w:spacing w:after="0" w:line="270" w:lineRule="auto"/>
        <w:tabs>
          <w:tab w:leader="none" w:pos="624" w:val="left"/>
        </w:tabs>
        <w:numPr>
          <w:ilvl w:val="1"/>
          <w:numId w:val="2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Acceleration of Equity Awards Upon a Change in Control</w:t>
      </w:r>
      <w:r>
        <w:rPr>
          <w:rFonts w:ascii="Arial" w:cs="Arial" w:eastAsia="Arial" w:hAnsi="Arial"/>
          <w:sz w:val="17"/>
          <w:szCs w:val="17"/>
          <w:color w:val="auto"/>
        </w:rPr>
        <w:t>. Notwithstanding anything herein to the contrary, in the event of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vesting of Executive’s then outstanding options, restricted stock and other equity awards covering shares of the Company’s common stock (collectively, “</w:t>
      </w:r>
      <w:r>
        <w:rPr>
          <w:rFonts w:ascii="Arial" w:cs="Arial" w:eastAsia="Arial" w:hAnsi="Arial"/>
          <w:sz w:val="17"/>
          <w:szCs w:val="17"/>
          <w:u w:val="single" w:color="auto"/>
          <w:color w:val="auto"/>
        </w:rPr>
        <w:t>Equity Awards</w:t>
      </w:r>
      <w:r>
        <w:rPr>
          <w:rFonts w:ascii="Arial" w:cs="Arial" w:eastAsia="Arial" w:hAnsi="Arial"/>
          <w:sz w:val="17"/>
          <w:szCs w:val="17"/>
          <w:color w:val="auto"/>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68" w:lineRule="exact"/>
        <w:rPr>
          <w:rFonts w:ascii="Arial" w:cs="Arial" w:eastAsia="Arial" w:hAnsi="Arial"/>
          <w:sz w:val="17"/>
          <w:szCs w:val="17"/>
          <w:b w:val="1"/>
          <w:bCs w:val="1"/>
          <w:color w:val="auto"/>
        </w:rPr>
      </w:pPr>
    </w:p>
    <w:p>
      <w:pPr>
        <w:ind w:left="624" w:hanging="184"/>
        <w:spacing w:after="0"/>
        <w:tabs>
          <w:tab w:leader="none" w:pos="624"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290" w:lineRule="auto"/>
        <w:tabs>
          <w:tab w:leader="none" w:pos="1250" w:val="left"/>
        </w:tabs>
        <w:numPr>
          <w:ilvl w:val="2"/>
          <w:numId w:val="245"/>
        </w:numPr>
        <w:rPr>
          <w:rFonts w:ascii="Arial" w:cs="Arial" w:eastAsia="Arial" w:hAnsi="Arial"/>
          <w:sz w:val="16"/>
          <w:szCs w:val="16"/>
          <w:b w:val="1"/>
          <w:bCs w:val="1"/>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CEO. If Executive’s employment terminates for any lawful reason, Executive shall not be entitled to any payments, benefits, Equity Awards or other compensation other than as provided in this Agreement.</w:t>
      </w:r>
    </w:p>
    <w:p>
      <w:pPr>
        <w:spacing w:after="0" w:line="57" w:lineRule="exact"/>
        <w:rPr>
          <w:rFonts w:ascii="Arial" w:cs="Arial" w:eastAsia="Arial" w:hAnsi="Arial"/>
          <w:sz w:val="16"/>
          <w:szCs w:val="16"/>
          <w:b w:val="1"/>
          <w:bCs w:val="1"/>
          <w:color w:val="auto"/>
        </w:rPr>
      </w:pPr>
    </w:p>
    <w:p>
      <w:pPr>
        <w:ind w:left="4" w:right="20" w:firstLine="987"/>
        <w:spacing w:after="0" w:line="291" w:lineRule="auto"/>
        <w:tabs>
          <w:tab w:leader="none" w:pos="1260" w:val="left"/>
        </w:tabs>
        <w:numPr>
          <w:ilvl w:val="2"/>
          <w:numId w:val="245"/>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During the Term of Employment, any termination of Executive’s employment by the Company or by Executive (other than by reason of death) shall be communicated by written notice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from one Party hereto to the other Party hereto</w:t>
      </w:r>
    </w:p>
    <w:p>
      <w:pPr>
        <w:ind w:left="4" w:hanging="4"/>
        <w:spacing w:after="0" w:line="269" w:lineRule="auto"/>
        <w:tabs>
          <w:tab w:leader="none" w:pos="21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72" w:lineRule="exact"/>
        <w:rPr>
          <w:rFonts w:ascii="Arial" w:cs="Arial" w:eastAsia="Arial" w:hAnsi="Arial"/>
          <w:sz w:val="17"/>
          <w:szCs w:val="17"/>
          <w:color w:val="auto"/>
        </w:rPr>
      </w:pPr>
    </w:p>
    <w:p>
      <w:pPr>
        <w:ind w:left="4" w:right="220" w:firstLine="987"/>
        <w:spacing w:after="0" w:line="263" w:lineRule="auto"/>
        <w:tabs>
          <w:tab w:leader="none" w:pos="1240" w:val="left"/>
        </w:tabs>
        <w:numPr>
          <w:ilvl w:val="2"/>
          <w:numId w:val="246"/>
        </w:numPr>
        <w:rPr>
          <w:rFonts w:ascii="Arial" w:cs="Arial" w:eastAsia="Arial" w:hAnsi="Arial"/>
          <w:sz w:val="18"/>
          <w:szCs w:val="18"/>
          <w:b w:val="1"/>
          <w:bCs w:val="1"/>
          <w:color w:val="auto"/>
        </w:rPr>
      </w:pPr>
      <w:r>
        <w:rPr>
          <w:rFonts w:ascii="Arial" w:cs="Arial" w:eastAsia="Arial" w:hAnsi="Arial"/>
          <w:sz w:val="18"/>
          <w:szCs w:val="18"/>
          <w:u w:val="single" w:color="auto"/>
          <w:color w:val="auto"/>
        </w:rPr>
        <w:t>Deemed Resignation</w:t>
      </w:r>
      <w:r>
        <w:rPr>
          <w:rFonts w:ascii="Arial" w:cs="Arial" w:eastAsia="Arial" w:hAnsi="Arial"/>
          <w:sz w:val="18"/>
          <w:szCs w:val="18"/>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30" w:name="page331"/>
    <w:bookmarkEnd w:id="330"/>
    <w:p>
      <w:pPr>
        <w:ind w:left="624" w:hanging="184"/>
        <w:spacing w:after="0"/>
        <w:tabs>
          <w:tab w:leader="none" w:pos="624"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Consequences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60" w:firstLine="987"/>
        <w:spacing w:after="0" w:line="311" w:lineRule="auto"/>
        <w:tabs>
          <w:tab w:leader="none" w:pos="1250" w:val="left"/>
        </w:tabs>
        <w:numPr>
          <w:ilvl w:val="2"/>
          <w:numId w:val="247"/>
        </w:numPr>
        <w:rPr>
          <w:rFonts w:ascii="Arial" w:cs="Arial" w:eastAsia="Arial" w:hAnsi="Arial"/>
          <w:sz w:val="16"/>
          <w:szCs w:val="16"/>
          <w:b w:val="1"/>
          <w:bCs w:val="1"/>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the event Executive’s employment with the Company terminates pursuant to Section 5, then Executive shall be entitled to the applicable payments and benefits set forth below subject to Executive delivering to the Company a waiver and release of claims agreement in standard reasonable form approved by the Company that becomes effective and irrevocable in accordance with Section 7 hereof (a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40" w:lineRule="exact"/>
        <w:rPr>
          <w:rFonts w:ascii="Arial" w:cs="Arial" w:eastAsia="Arial" w:hAnsi="Arial"/>
          <w:sz w:val="16"/>
          <w:szCs w:val="16"/>
          <w:b w:val="1"/>
          <w:bCs w:val="1"/>
          <w:color w:val="auto"/>
        </w:rPr>
      </w:pPr>
    </w:p>
    <w:p>
      <w:pPr>
        <w:ind w:left="4" w:right="40" w:firstLine="987"/>
        <w:spacing w:after="0" w:line="285" w:lineRule="auto"/>
        <w:tabs>
          <w:tab w:leader="none" w:pos="1260" w:val="left"/>
        </w:tabs>
        <w:numPr>
          <w:ilvl w:val="2"/>
          <w:numId w:val="247"/>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Payments upon Termination by the Company for Cause or by Executive Without Good Reason</w:t>
      </w:r>
      <w:r>
        <w:rPr>
          <w:rFonts w:ascii="Arial" w:cs="Arial" w:eastAsia="Arial" w:hAnsi="Arial"/>
          <w:sz w:val="16"/>
          <w:szCs w:val="16"/>
          <w:color w:val="auto"/>
        </w:rPr>
        <w:t>. Upon a termination of Executive’s employment with the Company at any time for Cause, Executive (or Executive’s estate or legal representative, as applicable) shall be entitled to receive, within thirty (30) days of the effective date of termination of employment with the Company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3(e) above; and</w:t>
      </w:r>
    </w:p>
    <w:p>
      <w:pPr>
        <w:spacing w:after="0" w:line="1" w:lineRule="exact"/>
        <w:rPr>
          <w:rFonts w:ascii="Arial" w:cs="Arial" w:eastAsia="Arial" w:hAnsi="Arial"/>
          <w:sz w:val="16"/>
          <w:szCs w:val="16"/>
          <w:b w:val="1"/>
          <w:bCs w:val="1"/>
          <w:color w:val="auto"/>
        </w:rPr>
      </w:pPr>
    </w:p>
    <w:p>
      <w:pPr>
        <w:ind w:left="4" w:right="40" w:hanging="4"/>
        <w:spacing w:after="0" w:line="252" w:lineRule="auto"/>
        <w:tabs>
          <w:tab w:leader="none" w:pos="31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accrued but unused paid time-off owed to Executive ((i)-(iii) defined as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 Any termination of employment by Executive without Good Reason shall be deemed, and shall be treated as, a termination for “Cause”, and accordingly, the Company shall only be obligated to pay to Executive the amounts described in this Section 6(b).</w:t>
      </w:r>
    </w:p>
    <w:p>
      <w:pPr>
        <w:spacing w:after="0" w:line="85" w:lineRule="exact"/>
        <w:rPr>
          <w:rFonts w:ascii="Arial" w:cs="Arial" w:eastAsia="Arial" w:hAnsi="Arial"/>
          <w:sz w:val="18"/>
          <w:szCs w:val="18"/>
          <w:color w:val="auto"/>
        </w:rPr>
      </w:pPr>
    </w:p>
    <w:p>
      <w:pPr>
        <w:ind w:left="4" w:right="580" w:firstLine="987"/>
        <w:spacing w:after="0" w:line="342" w:lineRule="auto"/>
        <w:tabs>
          <w:tab w:leader="none" w:pos="1240" w:val="left"/>
        </w:tabs>
        <w:numPr>
          <w:ilvl w:val="2"/>
          <w:numId w:val="248"/>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Outside a Change in Control Period</w:t>
      </w:r>
      <w:r>
        <w:rPr>
          <w:rFonts w:ascii="Arial" w:cs="Arial" w:eastAsia="Arial" w:hAnsi="Arial"/>
          <w:sz w:val="16"/>
          <w:szCs w:val="16"/>
          <w:color w:val="auto"/>
        </w:rPr>
        <w:t>. If, outside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4" w:hanging="212"/>
        <w:spacing w:after="0"/>
        <w:tabs>
          <w:tab w:leader="none" w:pos="1644" w:val="left"/>
        </w:tabs>
        <w:numPr>
          <w:ilvl w:val="3"/>
          <w:numId w:val="248"/>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4" w:right="360" w:firstLine="1428"/>
        <w:spacing w:after="0" w:line="277" w:lineRule="auto"/>
        <w:tabs>
          <w:tab w:leader="none" w:pos="1701" w:val="left"/>
        </w:tabs>
        <w:numPr>
          <w:ilvl w:val="3"/>
          <w:numId w:val="248"/>
        </w:numPr>
        <w:rPr>
          <w:rFonts w:ascii="Arial" w:cs="Arial" w:eastAsia="Arial" w:hAnsi="Arial"/>
          <w:sz w:val="18"/>
          <w:szCs w:val="18"/>
          <w:b w:val="1"/>
          <w:bCs w:val="1"/>
          <w:color w:val="auto"/>
        </w:rPr>
      </w:pPr>
      <w:r>
        <w:rPr>
          <w:rFonts w:ascii="Arial" w:cs="Arial" w:eastAsia="Arial" w:hAnsi="Arial"/>
          <w:sz w:val="18"/>
          <w:szCs w:val="18"/>
          <w:color w:val="auto"/>
        </w:rPr>
        <w:t>an amount in cash equal to (A) twelve months of Executive’s Annual Base Salary plus (B) Executive’s target Annual Bonus, pro-rated based on the total number of days elapsed in the calendar year as of Executive’s Date of Termination;</w:t>
      </w:r>
    </w:p>
    <w:p>
      <w:pPr>
        <w:spacing w:after="0" w:line="62" w:lineRule="exact"/>
        <w:rPr>
          <w:rFonts w:ascii="Arial" w:cs="Arial" w:eastAsia="Arial" w:hAnsi="Arial"/>
          <w:sz w:val="18"/>
          <w:szCs w:val="18"/>
          <w:b w:val="1"/>
          <w:bCs w:val="1"/>
          <w:color w:val="auto"/>
        </w:rPr>
      </w:pPr>
    </w:p>
    <w:p>
      <w:pPr>
        <w:jc w:val="both"/>
        <w:ind w:left="4" w:firstLine="1428"/>
        <w:spacing w:after="0" w:line="263" w:lineRule="auto"/>
        <w:tabs>
          <w:tab w:leader="none" w:pos="1751" w:val="left"/>
        </w:tabs>
        <w:numPr>
          <w:ilvl w:val="3"/>
          <w:numId w:val="248"/>
        </w:numPr>
        <w:rPr>
          <w:rFonts w:ascii="Arial" w:cs="Arial" w:eastAsia="Arial" w:hAnsi="Arial"/>
          <w:sz w:val="18"/>
          <w:szCs w:val="18"/>
          <w:b w:val="1"/>
          <w:bCs w:val="1"/>
          <w:color w:val="auto"/>
        </w:rPr>
      </w:pPr>
      <w:r>
        <w:rPr>
          <w:rFonts w:ascii="Arial" w:cs="Arial" w:eastAsia="Arial" w:hAnsi="Arial"/>
          <w:sz w:val="18"/>
          <w:szCs w:val="18"/>
          <w:color w:val="auto"/>
        </w:rPr>
        <w:t>fifty percent (50%) of the unvested Equity Awards held by the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left="4" w:right="20" w:firstLine="1428"/>
        <w:spacing w:after="0" w:line="259" w:lineRule="auto"/>
        <w:tabs>
          <w:tab w:leader="none" w:pos="1741" w:val="left"/>
        </w:tabs>
        <w:numPr>
          <w:ilvl w:val="3"/>
          <w:numId w:val="248"/>
        </w:numPr>
        <w:rPr>
          <w:rFonts w:ascii="Arial" w:cs="Arial" w:eastAsia="Arial" w:hAnsi="Arial"/>
          <w:sz w:val="18"/>
          <w:szCs w:val="18"/>
          <w:b w:val="1"/>
          <w:bCs w:val="1"/>
          <w:color w:val="auto"/>
        </w:rPr>
      </w:pPr>
      <w:r>
        <w:rPr>
          <w:rFonts w:ascii="Arial" w:cs="Arial" w:eastAsia="Arial" w:hAnsi="Arial"/>
          <w:sz w:val="18"/>
          <w:szCs w:val="18"/>
          <w:color w:val="auto"/>
        </w:rPr>
        <w:t>during the period commencing on the Date of Termination and ending on the six-month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thereunder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31" w:name="page332"/>
    <w:bookmarkEnd w:id="331"/>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Arial" w:cs="Arial" w:eastAsia="Arial" w:hAnsi="Arial"/>
          <w:sz w:val="16"/>
          <w:szCs w:val="16"/>
          <w:u w:val="single" w:color="auto"/>
          <w:color w:val="auto"/>
        </w:rPr>
        <w:t>Benefits Coverage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57" w:lineRule="exact"/>
        <w:rPr>
          <w:sz w:val="20"/>
          <w:szCs w:val="20"/>
          <w:color w:val="auto"/>
        </w:rPr>
      </w:pPr>
    </w:p>
    <w:p>
      <w:pPr>
        <w:ind w:right="660" w:firstLine="987"/>
        <w:spacing w:after="0" w:line="342" w:lineRule="auto"/>
        <w:tabs>
          <w:tab w:leader="none" w:pos="1256" w:val="left"/>
        </w:tabs>
        <w:numPr>
          <w:ilvl w:val="0"/>
          <w:numId w:val="249"/>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During a Change in Control Period</w:t>
      </w:r>
      <w:r>
        <w:rPr>
          <w:rFonts w:ascii="Arial" w:cs="Arial" w:eastAsia="Arial" w:hAnsi="Arial"/>
          <w:sz w:val="16"/>
          <w:szCs w:val="16"/>
          <w:color w:val="auto"/>
        </w:rPr>
        <w:t>. If, during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0" w:hanging="212"/>
        <w:spacing w:after="0"/>
        <w:tabs>
          <w:tab w:leader="none" w:pos="1640"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1700" w:hanging="272"/>
        <w:spacing w:after="0"/>
        <w:tabs>
          <w:tab w:leader="none" w:pos="1700" w:val="left"/>
        </w:tabs>
        <w:numPr>
          <w:ilvl w:val="1"/>
          <w:numId w:val="249"/>
        </w:numPr>
        <w:rPr>
          <w:rFonts w:ascii="Arial" w:cs="Arial" w:eastAsia="Arial" w:hAnsi="Arial"/>
          <w:sz w:val="16"/>
          <w:szCs w:val="16"/>
          <w:b w:val="1"/>
          <w:bCs w:val="1"/>
          <w:color w:val="auto"/>
        </w:rPr>
      </w:pPr>
      <w:r>
        <w:rPr>
          <w:rFonts w:ascii="Arial" w:cs="Arial" w:eastAsia="Arial" w:hAnsi="Arial"/>
          <w:sz w:val="16"/>
          <w:szCs w:val="16"/>
          <w:color w:val="auto"/>
        </w:rPr>
        <w:t>an amount in cash equal to (A) eighteen months of Executive’s Annual Base Salary plus (B) Executive’s target Annual Bonus;</w:t>
      </w:r>
    </w:p>
    <w:p>
      <w:pPr>
        <w:spacing w:after="0" w:line="140" w:lineRule="exact"/>
        <w:rPr>
          <w:rFonts w:ascii="Arial" w:cs="Arial" w:eastAsia="Arial" w:hAnsi="Arial"/>
          <w:sz w:val="16"/>
          <w:szCs w:val="16"/>
          <w:b w:val="1"/>
          <w:bCs w:val="1"/>
          <w:color w:val="auto"/>
        </w:rPr>
      </w:pPr>
    </w:p>
    <w:p>
      <w:pPr>
        <w:jc w:val="both"/>
        <w:ind w:right="120" w:firstLine="1428"/>
        <w:spacing w:after="0" w:line="263" w:lineRule="auto"/>
        <w:tabs>
          <w:tab w:leader="none" w:pos="1747"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one hundred percent (100%) of all unvested Equity Awards held by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firstLine="1428"/>
        <w:spacing w:after="0" w:line="269" w:lineRule="auto"/>
        <w:tabs>
          <w:tab w:leader="none" w:pos="1737" w:val="left"/>
        </w:tabs>
        <w:numPr>
          <w:ilvl w:val="1"/>
          <w:numId w:val="249"/>
        </w:numPr>
        <w:rPr>
          <w:rFonts w:ascii="Arial" w:cs="Arial" w:eastAsia="Arial" w:hAnsi="Arial"/>
          <w:sz w:val="17"/>
          <w:szCs w:val="17"/>
          <w:b w:val="1"/>
          <w:bCs w:val="1"/>
          <w:color w:val="auto"/>
        </w:rPr>
      </w:pPr>
      <w:r>
        <w:rPr>
          <w:rFonts w:ascii="Arial" w:cs="Arial" w:eastAsia="Arial" w:hAnsi="Arial"/>
          <w:sz w:val="17"/>
          <w:szCs w:val="17"/>
          <w:color w:val="auto"/>
        </w:rPr>
        <w:t xml:space="preserve">during the period commencing on the Date of Termination and ending on the first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77" w:lineRule="exact"/>
        <w:rPr>
          <w:rFonts w:ascii="Arial" w:cs="Arial" w:eastAsia="Arial" w:hAnsi="Arial"/>
          <w:sz w:val="17"/>
          <w:szCs w:val="17"/>
          <w:b w:val="1"/>
          <w:bCs w:val="1"/>
          <w:color w:val="auto"/>
        </w:rPr>
      </w:pPr>
    </w:p>
    <w:p>
      <w:pPr>
        <w:ind w:right="80" w:firstLine="987"/>
        <w:spacing w:after="0" w:line="263" w:lineRule="auto"/>
        <w:tabs>
          <w:tab w:leader="none" w:pos="1236" w:val="left"/>
        </w:tabs>
        <w:numPr>
          <w:ilvl w:val="0"/>
          <w:numId w:val="249"/>
        </w:numPr>
        <w:rPr>
          <w:rFonts w:ascii="Arial" w:cs="Arial" w:eastAsia="Arial" w:hAnsi="Arial"/>
          <w:sz w:val="18"/>
          <w:szCs w:val="18"/>
          <w:b w:val="1"/>
          <w:bCs w:val="1"/>
          <w:color w:val="auto"/>
        </w:rPr>
      </w:pPr>
      <w:r>
        <w:rPr>
          <w:rFonts w:ascii="Arial" w:cs="Arial" w:eastAsia="Arial" w:hAnsi="Arial"/>
          <w:sz w:val="18"/>
          <w:szCs w:val="18"/>
          <w:u w:val="single" w:color="auto"/>
          <w:color w:val="auto"/>
        </w:rPr>
        <w:t>No Other Severance</w:t>
      </w:r>
      <w:r>
        <w:rPr>
          <w:rFonts w:ascii="Arial" w:cs="Arial" w:eastAsia="Arial" w:hAnsi="Arial"/>
          <w:sz w:val="18"/>
          <w:szCs w:val="18"/>
          <w:color w:val="auto"/>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32" w:name="page333"/>
    <w:bookmarkEnd w:id="332"/>
    <w:p>
      <w:pPr>
        <w:ind w:right="180" w:firstLine="987"/>
        <w:spacing w:after="0" w:line="263" w:lineRule="auto"/>
        <w:tabs>
          <w:tab w:leader="none" w:pos="1216" w:val="left"/>
        </w:tabs>
        <w:numPr>
          <w:ilvl w:val="1"/>
          <w:numId w:val="25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71" w:lineRule="exact"/>
        <w:rPr>
          <w:rFonts w:ascii="Arial" w:cs="Arial" w:eastAsia="Arial" w:hAnsi="Arial"/>
          <w:sz w:val="18"/>
          <w:szCs w:val="18"/>
          <w:b w:val="1"/>
          <w:bCs w:val="1"/>
          <w:color w:val="auto"/>
        </w:rPr>
      </w:pPr>
    </w:p>
    <w:p>
      <w:pPr>
        <w:ind w:firstLine="436"/>
        <w:spacing w:after="0" w:line="286" w:lineRule="auto"/>
        <w:tabs>
          <w:tab w:leader="none" w:pos="620"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Notwithstanding anything to the contrary in this Agreement, any payments or other benefits due under this Agreement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are subject to Executive’s execution and delivery of a Release, (a) the Company shall deliver the Release to Executive within ten (10) business days following Executive’s Date of Termination, and the Company’s failure to deliver a Release prior to the expiration of such ten (10) business day period shall constitute a waiver of any requirement to execute a Release, (b) if Executive fails to execute the Release on or prior to the Release Expiration Date (as defined below) or timely revokes Executive’s acceptance of the Release thereafter, Executive shall not be entitled to any payments or benefits otherwise conditioned on the Release, and (c)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(as defined below) shall be made in the later taxable year. For purposes of this Section 7,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(as defined below)) due under this Agreement as a result of Executive’s termination of employment are delayed pursuant to this Section 7, such amounts shall be paid in a lump sum on the first payroll date following the date that Executive executes and does not revoke the Release (and the applicable revocation period has expired) or, in the case of any payments subject to Section 7(c), on the first payroll period to occur in the subsequent taxable year, if later.</w:t>
      </w:r>
    </w:p>
    <w:p>
      <w:pPr>
        <w:spacing w:after="0" w:line="59" w:lineRule="exact"/>
        <w:rPr>
          <w:rFonts w:ascii="Arial" w:cs="Arial" w:eastAsia="Arial" w:hAnsi="Arial"/>
          <w:sz w:val="16"/>
          <w:szCs w:val="16"/>
          <w:b w:val="1"/>
          <w:bCs w:val="1"/>
          <w:color w:val="auto"/>
        </w:rPr>
      </w:pPr>
    </w:p>
    <w:p>
      <w:pPr>
        <w:ind w:firstLine="436"/>
        <w:spacing w:after="0" w:line="294" w:lineRule="auto"/>
        <w:tabs>
          <w:tab w:leader="none" w:pos="620"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color w:val="auto"/>
        </w:rPr>
        <w:t>. For a period of one (1) year following Executive’s Date of Termination, Executive shall not, either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33" w:name="page334"/>
    <w:bookmarkEnd w:id="333"/>
    <w:p>
      <w:pPr>
        <w:ind w:left="624" w:hanging="184"/>
        <w:spacing w:after="0"/>
        <w:tabs>
          <w:tab w:leader="none" w:pos="624" w:val="left"/>
        </w:tabs>
        <w:numPr>
          <w:ilvl w:val="1"/>
          <w:numId w:val="2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Golden Parachute Excise Tax</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20" w:firstLine="987"/>
        <w:spacing w:after="0" w:line="283" w:lineRule="auto"/>
        <w:tabs>
          <w:tab w:leader="none" w:pos="1250" w:val="left"/>
        </w:tabs>
        <w:numPr>
          <w:ilvl w:val="2"/>
          <w:numId w:val="252"/>
        </w:numPr>
        <w:rPr>
          <w:rFonts w:ascii="Arial" w:cs="Arial" w:eastAsia="Arial" w:hAnsi="Arial"/>
          <w:sz w:val="16"/>
          <w:szCs w:val="16"/>
          <w:b w:val="1"/>
          <w:bCs w:val="1"/>
          <w:color w:val="auto"/>
        </w:rPr>
      </w:pPr>
      <w:r>
        <w:rPr>
          <w:rFonts w:ascii="Arial" w:cs="Arial" w:eastAsia="Arial" w:hAnsi="Arial"/>
          <w:sz w:val="16"/>
          <w:szCs w:val="16"/>
          <w:u w:val="single" w:color="auto"/>
          <w:color w:val="auto"/>
        </w:rPr>
        <w:t>Best Pay</w:t>
      </w:r>
      <w:r>
        <w:rPr>
          <w:rFonts w:ascii="Arial" w:cs="Arial" w:eastAsia="Arial" w:hAnsi="Arial"/>
          <w:sz w:val="16"/>
          <w:szCs w:val="16"/>
          <w:color w:val="auto"/>
        </w:rPr>
        <w:t>. Any provision of this Agreement to the contrary notwithstanding, if any payment or benefit Executive would receive from the Company pursuant to this Agreement or otherwise (“</w:t>
      </w:r>
      <w:r>
        <w:rPr>
          <w:rFonts w:ascii="Arial" w:cs="Arial" w:eastAsia="Arial" w:hAnsi="Arial"/>
          <w:sz w:val="16"/>
          <w:szCs w:val="16"/>
          <w:u w:val="single" w:color="auto"/>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u w:val="single" w:color="auto"/>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u w:val="single" w:color="auto"/>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Arial" w:cs="Arial" w:eastAsia="Arial" w:hAnsi="Arial"/>
          <w:sz w:val="16"/>
          <w:szCs w:val="16"/>
          <w:b w:val="1"/>
          <w:bCs w:val="1"/>
          <w:color w:val="auto"/>
        </w:rPr>
      </w:pPr>
    </w:p>
    <w:p>
      <w:pPr>
        <w:ind w:left="4" w:right="200" w:hanging="4"/>
        <w:spacing w:after="0" w:line="295" w:lineRule="auto"/>
        <w:tabs>
          <w:tab w:leader="none" w:pos="25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53" w:lineRule="exact"/>
        <w:rPr>
          <w:rFonts w:ascii="Arial" w:cs="Arial" w:eastAsia="Arial" w:hAnsi="Arial"/>
          <w:sz w:val="16"/>
          <w:szCs w:val="16"/>
          <w:color w:val="auto"/>
        </w:rPr>
      </w:pPr>
    </w:p>
    <w:p>
      <w:pPr>
        <w:ind w:left="4" w:right="20" w:firstLine="987"/>
        <w:spacing w:after="0" w:line="289" w:lineRule="auto"/>
        <w:tabs>
          <w:tab w:leader="none" w:pos="1260" w:val="left"/>
        </w:tabs>
        <w:numPr>
          <w:ilvl w:val="2"/>
          <w:numId w:val="253"/>
        </w:numPr>
        <w:rPr>
          <w:rFonts w:ascii="Arial" w:cs="Arial" w:eastAsia="Arial" w:hAnsi="Arial"/>
          <w:sz w:val="16"/>
          <w:szCs w:val="16"/>
          <w:b w:val="1"/>
          <w:bCs w:val="1"/>
          <w:color w:val="auto"/>
        </w:rPr>
      </w:pP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engaged by the Company for general tax purposes as of the day prior to the Change in Control will perform the calculations set forth in Section 9(a)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54" w:lineRule="exact"/>
        <w:rPr>
          <w:rFonts w:ascii="Arial" w:cs="Arial" w:eastAsia="Arial" w:hAnsi="Arial"/>
          <w:sz w:val="16"/>
          <w:szCs w:val="16"/>
          <w:b w:val="1"/>
          <w:bCs w:val="1"/>
          <w:color w:val="auto"/>
        </w:rPr>
      </w:pPr>
    </w:p>
    <w:p>
      <w:pPr>
        <w:ind w:left="704" w:hanging="264"/>
        <w:spacing w:after="0"/>
        <w:tabs>
          <w:tab w:leader="none" w:pos="704" w:val="left"/>
        </w:tabs>
        <w:numPr>
          <w:ilvl w:val="1"/>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59" w:lineRule="auto"/>
        <w:tabs>
          <w:tab w:leader="none" w:pos="1250" w:val="left"/>
        </w:tabs>
        <w:numPr>
          <w:ilvl w:val="2"/>
          <w:numId w:val="254"/>
        </w:numPr>
        <w:rPr>
          <w:rFonts w:ascii="Arial" w:cs="Arial" w:eastAsia="Arial" w:hAnsi="Arial"/>
          <w:sz w:val="18"/>
          <w:szCs w:val="18"/>
          <w:b w:val="1"/>
          <w:bCs w:val="1"/>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8"/>
          <w:szCs w:val="18"/>
          <w:u w:val="single" w:color="auto"/>
          <w:color w:val="auto"/>
        </w:rPr>
        <w:t>Section 409A</w:t>
      </w:r>
      <w:r>
        <w:rPr>
          <w:rFonts w:ascii="Arial" w:cs="Arial" w:eastAsia="Arial" w:hAnsi="Arial"/>
          <w:sz w:val="18"/>
          <w:szCs w:val="18"/>
          <w:color w:val="auto"/>
        </w:rPr>
        <w:t>”) and, accordingly, to the maximum extent permitted, this Agreement shall be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334" w:name="page335"/>
    <w:bookmarkEnd w:id="33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70" w:lineRule="exact"/>
        <w:rPr>
          <w:sz w:val="20"/>
          <w:szCs w:val="20"/>
          <w:color w:val="auto"/>
        </w:rPr>
      </w:pPr>
    </w:p>
    <w:p>
      <w:pPr>
        <w:ind w:right="100" w:firstLine="987"/>
        <w:spacing w:after="0" w:line="290" w:lineRule="auto"/>
        <w:tabs>
          <w:tab w:leader="none" w:pos="1256" w:val="left"/>
        </w:tabs>
        <w:numPr>
          <w:ilvl w:val="1"/>
          <w:numId w:val="255"/>
        </w:numPr>
        <w:rPr>
          <w:rFonts w:ascii="Arial" w:cs="Arial" w:eastAsia="Arial" w:hAnsi="Arial"/>
          <w:sz w:val="16"/>
          <w:szCs w:val="16"/>
          <w:b w:val="1"/>
          <w:bCs w:val="1"/>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16"/>
          <w:szCs w:val="16"/>
          <w:u w:val="single" w:color="auto"/>
          <w:color w:val="auto"/>
        </w:rPr>
        <w:t>Separation from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57" w:lineRule="exact"/>
        <w:rPr>
          <w:rFonts w:ascii="Arial" w:cs="Arial" w:eastAsia="Arial" w:hAnsi="Arial"/>
          <w:sz w:val="16"/>
          <w:szCs w:val="16"/>
          <w:b w:val="1"/>
          <w:bCs w:val="1"/>
          <w:color w:val="auto"/>
        </w:rPr>
      </w:pPr>
    </w:p>
    <w:p>
      <w:pPr>
        <w:ind w:right="40" w:firstLine="987"/>
        <w:spacing w:after="0" w:line="291" w:lineRule="auto"/>
        <w:tabs>
          <w:tab w:leader="none" w:pos="1236" w:val="left"/>
        </w:tabs>
        <w:numPr>
          <w:ilvl w:val="1"/>
          <w:numId w:val="255"/>
        </w:numPr>
        <w:rPr>
          <w:rFonts w:ascii="Arial" w:cs="Arial" w:eastAsia="Arial" w:hAnsi="Arial"/>
          <w:sz w:val="16"/>
          <w:szCs w:val="16"/>
          <w:b w:val="1"/>
          <w:bCs w:val="1"/>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54" w:lineRule="exact"/>
        <w:rPr>
          <w:rFonts w:ascii="Arial" w:cs="Arial" w:eastAsia="Arial" w:hAnsi="Arial"/>
          <w:sz w:val="16"/>
          <w:szCs w:val="16"/>
          <w:b w:val="1"/>
          <w:bCs w:val="1"/>
          <w:color w:val="auto"/>
        </w:rPr>
      </w:pPr>
    </w:p>
    <w:p>
      <w:pPr>
        <w:jc w:val="both"/>
        <w:ind w:right="60" w:firstLine="436"/>
        <w:spacing w:after="0" w:line="266" w:lineRule="auto"/>
        <w:tabs>
          <w:tab w:leader="none" w:pos="7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or other taxes or charges which the Company is required to withhold. The Company shall be entitled to rely on an opinion of counsel if any questions as to the amount or requirement of withholding shall arise.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35" w:name="page336"/>
    <w:bookmarkEnd w:id="335"/>
    <w:p>
      <w:pPr>
        <w:ind w:left="704" w:hanging="264"/>
        <w:spacing w:after="0"/>
        <w:tabs>
          <w:tab w:leader="none" w:pos="704"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4" w:lineRule="auto"/>
        <w:tabs>
          <w:tab w:leader="none" w:pos="1250" w:val="left"/>
        </w:tabs>
        <w:numPr>
          <w:ilvl w:val="2"/>
          <w:numId w:val="257"/>
        </w:numPr>
        <w:rPr>
          <w:rFonts w:ascii="Arial" w:cs="Arial" w:eastAsia="Arial" w:hAnsi="Arial"/>
          <w:sz w:val="16"/>
          <w:szCs w:val="16"/>
          <w:b w:val="1"/>
          <w:bCs w:val="1"/>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w:t>
      </w:r>
    </w:p>
    <w:p>
      <w:pPr>
        <w:spacing w:after="0" w:line="4" w:lineRule="exact"/>
        <w:rPr>
          <w:rFonts w:ascii="Arial" w:cs="Arial" w:eastAsia="Arial" w:hAnsi="Arial"/>
          <w:sz w:val="16"/>
          <w:szCs w:val="16"/>
          <w:b w:val="1"/>
          <w:bCs w:val="1"/>
          <w:color w:val="auto"/>
        </w:rPr>
      </w:pPr>
    </w:p>
    <w:p>
      <w:pPr>
        <w:ind w:left="4" w:right="340" w:hanging="4"/>
        <w:spacing w:after="0" w:line="277" w:lineRule="auto"/>
        <w:tabs>
          <w:tab w:leader="none" w:pos="24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64" w:lineRule="exact"/>
        <w:rPr>
          <w:rFonts w:ascii="Arial" w:cs="Arial" w:eastAsia="Arial" w:hAnsi="Arial"/>
          <w:sz w:val="17"/>
          <w:szCs w:val="17"/>
          <w:color w:val="auto"/>
        </w:rPr>
      </w:pPr>
    </w:p>
    <w:p>
      <w:pPr>
        <w:ind w:left="4" w:firstLine="987"/>
        <w:spacing w:after="0" w:line="275" w:lineRule="auto"/>
        <w:tabs>
          <w:tab w:leader="none" w:pos="1260" w:val="left"/>
        </w:tabs>
        <w:numPr>
          <w:ilvl w:val="2"/>
          <w:numId w:val="258"/>
        </w:numPr>
        <w:rPr>
          <w:rFonts w:ascii="Arial" w:cs="Arial" w:eastAsia="Arial" w:hAnsi="Arial"/>
          <w:sz w:val="17"/>
          <w:szCs w:val="17"/>
          <w:b w:val="1"/>
          <w:bCs w:val="1"/>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68" w:lineRule="exact"/>
        <w:rPr>
          <w:rFonts w:ascii="Arial" w:cs="Arial" w:eastAsia="Arial" w:hAnsi="Arial"/>
          <w:sz w:val="17"/>
          <w:szCs w:val="17"/>
          <w:b w:val="1"/>
          <w:bCs w:val="1"/>
          <w:color w:val="auto"/>
        </w:rPr>
      </w:pPr>
    </w:p>
    <w:p>
      <w:pPr>
        <w:ind w:left="4" w:right="180" w:firstLine="987"/>
        <w:spacing w:after="0" w:line="259" w:lineRule="auto"/>
        <w:tabs>
          <w:tab w:leader="none" w:pos="1240" w:val="left"/>
        </w:tabs>
        <w:numPr>
          <w:ilvl w:val="2"/>
          <w:numId w:val="258"/>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78" w:lineRule="exact"/>
        <w:rPr>
          <w:rFonts w:ascii="Arial" w:cs="Arial" w:eastAsia="Arial" w:hAnsi="Arial"/>
          <w:sz w:val="18"/>
          <w:szCs w:val="18"/>
          <w:b w:val="1"/>
          <w:bCs w:val="1"/>
          <w:color w:val="auto"/>
        </w:rPr>
      </w:pPr>
    </w:p>
    <w:p>
      <w:pPr>
        <w:ind w:left="4" w:right="920" w:firstLine="987"/>
        <w:spacing w:after="0" w:line="277" w:lineRule="auto"/>
        <w:tabs>
          <w:tab w:leader="none" w:pos="1260" w:val="left"/>
        </w:tabs>
        <w:numPr>
          <w:ilvl w:val="2"/>
          <w:numId w:val="258"/>
        </w:numPr>
        <w:rPr>
          <w:rFonts w:ascii="Arial" w:cs="Arial" w:eastAsia="Arial" w:hAnsi="Arial"/>
          <w:sz w:val="18"/>
          <w:szCs w:val="18"/>
          <w:b w:val="1"/>
          <w:bCs w:val="1"/>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2" w:lineRule="exact"/>
        <w:rPr>
          <w:rFonts w:ascii="Arial" w:cs="Arial" w:eastAsia="Arial" w:hAnsi="Arial"/>
          <w:sz w:val="18"/>
          <w:szCs w:val="18"/>
          <w:b w:val="1"/>
          <w:bCs w:val="1"/>
          <w:color w:val="auto"/>
        </w:rPr>
      </w:pPr>
    </w:p>
    <w:p>
      <w:pPr>
        <w:ind w:left="4" w:right="160" w:firstLine="987"/>
        <w:spacing w:after="0" w:line="273" w:lineRule="auto"/>
        <w:tabs>
          <w:tab w:leader="none" w:pos="1240" w:val="left"/>
        </w:tabs>
        <w:numPr>
          <w:ilvl w:val="2"/>
          <w:numId w:val="258"/>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69" w:lineRule="exact"/>
        <w:rPr>
          <w:rFonts w:ascii="Arial" w:cs="Arial" w:eastAsia="Arial" w:hAnsi="Arial"/>
          <w:sz w:val="17"/>
          <w:szCs w:val="17"/>
          <w:b w:val="1"/>
          <w:bCs w:val="1"/>
          <w:color w:val="auto"/>
        </w:rPr>
      </w:pPr>
    </w:p>
    <w:p>
      <w:pPr>
        <w:jc w:val="both"/>
        <w:ind w:left="4" w:right="120" w:firstLine="987"/>
        <w:spacing w:after="0" w:line="259" w:lineRule="auto"/>
        <w:tabs>
          <w:tab w:leader="none" w:pos="1220" w:val="left"/>
        </w:tabs>
        <w:numPr>
          <w:ilvl w:val="2"/>
          <w:numId w:val="258"/>
        </w:numPr>
        <w:rPr>
          <w:rFonts w:ascii="Arial" w:cs="Arial" w:eastAsia="Arial" w:hAnsi="Arial"/>
          <w:sz w:val="18"/>
          <w:szCs w:val="18"/>
          <w:b w:val="1"/>
          <w:bCs w:val="1"/>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Executive agrees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mutually selected by the Company and Executive. This means that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336" w:name="page337"/>
    <w:bookmarkEnd w:id="33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disputes will be decided by an arbitrator rather than a court or jury, and that both Executive and the Company waive their respective rights to a court or jury trial. Judgment on the arbitration award may be entered in any court having jurisdiction. Nothing herein shall prevent either Party from pursuing injunctive relief in court (without having to post a bond) to avoid irreparable harm pending completion of any arbitration. Within twenty (20) days of the conclusion of the arbitration hearing, the arbitrator shall prepare written findings of fact and conclusions of law. Each party shall bear its own costs and attorneys’ fees in connection with arbitration;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pay all costs unique to arbitration, including the arbitrator’s fees and costs, that Executive would not be required to pay if the claim was in court. Executive shall be entitled to recover reasonable attorneys’ fees and costs incurred by Executive in any arbitration Executive initiates to enforce Executive’s rights under this Agreement and in which Executive is deemed to be the prevailing party.</w:t>
      </w:r>
    </w:p>
    <w:p>
      <w:pPr>
        <w:spacing w:after="0" w:line="84" w:lineRule="exact"/>
        <w:rPr>
          <w:sz w:val="20"/>
          <w:szCs w:val="20"/>
          <w:color w:val="auto"/>
        </w:rPr>
      </w:pPr>
    </w:p>
    <w:p>
      <w:pPr>
        <w:ind w:right="40" w:firstLine="987"/>
        <w:spacing w:after="0" w:line="255" w:lineRule="auto"/>
        <w:tabs>
          <w:tab w:leader="none" w:pos="1246" w:val="left"/>
        </w:tabs>
        <w:numPr>
          <w:ilvl w:val="0"/>
          <w:numId w:val="259"/>
        </w:numPr>
        <w:rPr>
          <w:rFonts w:ascii="Arial" w:cs="Arial" w:eastAsia="Arial" w:hAnsi="Arial"/>
          <w:sz w:val="18"/>
          <w:szCs w:val="18"/>
          <w:b w:val="1"/>
          <w:bCs w:val="1"/>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4" w:lineRule="exact"/>
        <w:rPr>
          <w:rFonts w:ascii="Arial" w:cs="Arial" w:eastAsia="Arial" w:hAnsi="Arial"/>
          <w:sz w:val="18"/>
          <w:szCs w:val="18"/>
          <w:b w:val="1"/>
          <w:bCs w:val="1"/>
          <w:color w:val="auto"/>
        </w:rPr>
      </w:pPr>
    </w:p>
    <w:p>
      <w:pPr>
        <w:ind w:right="20" w:firstLine="987"/>
        <w:spacing w:after="0" w:line="301" w:lineRule="auto"/>
        <w:tabs>
          <w:tab w:leader="none" w:pos="1256" w:val="left"/>
        </w:tabs>
        <w:numPr>
          <w:ilvl w:val="0"/>
          <w:numId w:val="259"/>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The terms of this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49" w:lineRule="exact"/>
        <w:rPr>
          <w:rFonts w:ascii="Arial" w:cs="Arial" w:eastAsia="Arial" w:hAnsi="Arial"/>
          <w:sz w:val="16"/>
          <w:szCs w:val="16"/>
          <w:b w:val="1"/>
          <w:bCs w:val="1"/>
          <w:color w:val="auto"/>
        </w:rPr>
      </w:pPr>
    </w:p>
    <w:p>
      <w:pPr>
        <w:ind w:right="140" w:firstLine="987"/>
        <w:spacing w:after="0" w:line="263" w:lineRule="auto"/>
        <w:tabs>
          <w:tab w:leader="none" w:pos="1206" w:val="left"/>
        </w:tabs>
        <w:numPr>
          <w:ilvl w:val="0"/>
          <w:numId w:val="259"/>
        </w:numPr>
        <w:rPr>
          <w:rFonts w:ascii="Arial" w:cs="Arial" w:eastAsia="Arial" w:hAnsi="Arial"/>
          <w:sz w:val="18"/>
          <w:szCs w:val="18"/>
          <w:b w:val="1"/>
          <w:bCs w:val="1"/>
          <w:color w:val="auto"/>
        </w:rPr>
      </w:pPr>
      <w:r>
        <w:rPr>
          <w:rFonts w:ascii="Arial" w:cs="Arial" w:eastAsia="Arial" w:hAnsi="Arial"/>
          <w:sz w:val="18"/>
          <w:szCs w:val="18"/>
          <w:u w:val="single" w:color="auto"/>
          <w:color w:val="auto"/>
        </w:rPr>
        <w:t>Employee Acknowledgement</w:t>
      </w:r>
      <w:r>
        <w:rPr>
          <w:rFonts w:ascii="Arial" w:cs="Arial" w:eastAsia="Arial" w:hAnsi="Arial"/>
          <w:sz w:val="18"/>
          <w:szCs w:val="18"/>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75" w:lineRule="exact"/>
        <w:rPr>
          <w:rFonts w:ascii="Arial" w:cs="Arial" w:eastAsia="Arial" w:hAnsi="Arial"/>
          <w:sz w:val="18"/>
          <w:szCs w:val="18"/>
          <w:b w:val="1"/>
          <w:bCs w:val="1"/>
          <w:color w:val="auto"/>
        </w:rPr>
      </w:pPr>
    </w:p>
    <w:p>
      <w:pPr>
        <w:ind w:right="400" w:firstLine="987"/>
        <w:spacing w:after="0" w:line="342" w:lineRule="auto"/>
        <w:tabs>
          <w:tab w:leader="none" w:pos="1216" w:val="left"/>
        </w:tabs>
        <w:numPr>
          <w:ilvl w:val="0"/>
          <w:numId w:val="259"/>
        </w:numPr>
        <w:rPr>
          <w:rFonts w:ascii="Arial" w:cs="Arial" w:eastAsia="Arial" w:hAnsi="Arial"/>
          <w:sz w:val="16"/>
          <w:szCs w:val="16"/>
          <w:b w:val="1"/>
          <w:bCs w:val="1"/>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duly executed this Agreement as of the date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TYRA BIOSCIENCES, INC.</w:t>
      </w:r>
    </w:p>
    <w:p>
      <w:pPr>
        <w:spacing w:after="0" w:line="229" w:lineRule="exact"/>
        <w:rPr>
          <w:sz w:val="20"/>
          <w:szCs w:val="20"/>
          <w:color w:val="auto"/>
        </w:rPr>
      </w:pPr>
    </w:p>
    <w:p>
      <w:pPr>
        <w:ind w:left="6180"/>
        <w:spacing w:after="0"/>
        <w:tabs>
          <w:tab w:leader="none" w:pos="6640" w:val="left"/>
        </w:tabs>
        <w:rPr>
          <w:sz w:val="20"/>
          <w:szCs w:val="20"/>
          <w:color w:val="auto"/>
        </w:rPr>
      </w:pPr>
      <w:r>
        <w:rPr>
          <w:rFonts w:ascii="Arial" w:cs="Arial" w:eastAsia="Arial" w:hAnsi="Arial"/>
          <w:sz w:val="18"/>
          <w:szCs w:val="18"/>
          <w:color w:val="auto"/>
        </w:rPr>
        <w:t>By:</w:t>
        <w:tab/>
        <w:t>/s/ Todd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Todd Harris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Chief Executive Officer and President</w:t>
      </w:r>
    </w:p>
    <w:p>
      <w:pPr>
        <w:spacing w:after="0" w:line="23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tabs>
          <w:tab w:leader="none" w:pos="6640" w:val="left"/>
        </w:tabs>
        <w:rPr>
          <w:sz w:val="20"/>
          <w:szCs w:val="20"/>
          <w:color w:val="auto"/>
        </w:rPr>
      </w:pPr>
      <w:r>
        <w:rPr>
          <w:rFonts w:ascii="Arial" w:cs="Arial" w:eastAsia="Arial" w:hAnsi="Arial"/>
          <w:sz w:val="18"/>
          <w:szCs w:val="18"/>
          <w:color w:val="auto"/>
        </w:rPr>
        <w:t>By:</w:t>
        <w:tab/>
        <w:t>/s/ Ronald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Ronald Swanson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38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38" w:name="page339"/>
    <w:bookmarkEnd w:id="33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defined terms used in this Appendix I that are not otherwise defined in this Appendix I shall have the meaning ascribed to such terms in the Employment Agreement to which this Appendix I relates.</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Acquiring Company</w:t>
      </w:r>
      <w:r>
        <w:rPr>
          <w:rFonts w:ascii="Arial" w:cs="Arial" w:eastAsia="Arial" w:hAnsi="Arial"/>
          <w:sz w:val="18"/>
          <w:szCs w:val="18"/>
          <w:color w:val="auto"/>
        </w:rPr>
        <w:t>” shall mean the resulting or surviving corporation, or the company issuing cash or securities (or its ultimate parent company), in a merger consolidation, tender offer or share exchange involving the Company, or the successor corporation to the Company (whether in any such transaction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the occurrence of any one or more of the following events or conditions:</w:t>
      </w:r>
    </w:p>
    <w:p>
      <w:pPr>
        <w:spacing w:after="0" w:line="121" w:lineRule="exact"/>
        <w:rPr>
          <w:sz w:val="20"/>
          <w:szCs w:val="20"/>
          <w:color w:val="auto"/>
        </w:rPr>
      </w:pPr>
    </w:p>
    <w:p>
      <w:pPr>
        <w:ind w:right="300" w:firstLine="1428"/>
        <w:spacing w:after="0" w:line="263" w:lineRule="auto"/>
        <w:tabs>
          <w:tab w:leader="none" w:pos="1647"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spacing w:after="0" w:line="75" w:lineRule="exact"/>
        <w:rPr>
          <w:rFonts w:ascii="Arial" w:cs="Arial" w:eastAsia="Arial" w:hAnsi="Arial"/>
          <w:sz w:val="18"/>
          <w:szCs w:val="18"/>
          <w:b w:val="1"/>
          <w:bCs w:val="1"/>
          <w:color w:val="auto"/>
        </w:rPr>
      </w:pPr>
    </w:p>
    <w:p>
      <w:pPr>
        <w:ind w:right="140" w:firstLine="1428"/>
        <w:spacing w:after="0" w:line="277" w:lineRule="auto"/>
        <w:tabs>
          <w:tab w:leader="none" w:pos="1697"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Executive’s dishonesty or other misconduct, if such dishonesty or other misconduct is intended to or likely to materially injure the business or reputation of the Company;</w:t>
      </w:r>
    </w:p>
    <w:p>
      <w:pPr>
        <w:spacing w:after="0" w:line="62" w:lineRule="exact"/>
        <w:rPr>
          <w:rFonts w:ascii="Arial" w:cs="Arial" w:eastAsia="Arial" w:hAnsi="Arial"/>
          <w:sz w:val="18"/>
          <w:szCs w:val="18"/>
          <w:b w:val="1"/>
          <w:bCs w:val="1"/>
          <w:color w:val="auto"/>
        </w:rPr>
      </w:pPr>
    </w:p>
    <w:p>
      <w:pPr>
        <w:ind w:left="1740" w:hanging="312"/>
        <w:spacing w:after="0"/>
        <w:tabs>
          <w:tab w:leader="none" w:pos="1740"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Executive’s conviction or no contest plea to any misdemeanor involving dishonesty, theft, fraud or moral turpitude, or any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felony.</w:t>
      </w:r>
    </w:p>
    <w:p>
      <w:pPr>
        <w:spacing w:after="0" w:line="102" w:lineRule="exact"/>
        <w:rPr>
          <w:rFonts w:ascii="Arial" w:cs="Arial" w:eastAsia="Arial" w:hAnsi="Arial"/>
          <w:sz w:val="17"/>
          <w:szCs w:val="17"/>
          <w:b w:val="1"/>
          <w:bCs w:val="1"/>
          <w:color w:val="auto"/>
        </w:rPr>
      </w:pPr>
    </w:p>
    <w:p>
      <w:pPr>
        <w:jc w:val="both"/>
        <w:ind w:right="640" w:firstLine="1428"/>
        <w:spacing w:after="0" w:line="342" w:lineRule="auto"/>
        <w:tabs>
          <w:tab w:leader="none" w:pos="1737"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Executive’s insobriety or illegal use of drugs, chemicals or controlled substances either (A) in the course of performing Executive’s duties and responsibilities under this Agreement or (B) otherwise materially affecting the ability of Executive to perform the same;</w:t>
      </w:r>
    </w:p>
    <w:p>
      <w:pPr>
        <w:spacing w:after="0" w:line="15" w:lineRule="exact"/>
        <w:rPr>
          <w:rFonts w:ascii="Arial" w:cs="Arial" w:eastAsia="Arial" w:hAnsi="Arial"/>
          <w:sz w:val="16"/>
          <w:szCs w:val="16"/>
          <w:b w:val="1"/>
          <w:bCs w:val="1"/>
          <w:color w:val="auto"/>
        </w:rPr>
      </w:pPr>
    </w:p>
    <w:p>
      <w:pPr>
        <w:ind w:right="480" w:firstLine="1428"/>
        <w:spacing w:after="0" w:line="277" w:lineRule="auto"/>
        <w:tabs>
          <w:tab w:leader="none" w:pos="1687"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Executive’s material breach of any written agreement with the Company or any of its affiliates or material violation of the Company’s Code of Conduct or any other material written policy of the Company; or</w:t>
      </w:r>
    </w:p>
    <w:p>
      <w:pPr>
        <w:spacing w:after="0" w:line="62" w:lineRule="exact"/>
        <w:rPr>
          <w:rFonts w:ascii="Arial" w:cs="Arial" w:eastAsia="Arial" w:hAnsi="Arial"/>
          <w:sz w:val="18"/>
          <w:szCs w:val="18"/>
          <w:b w:val="1"/>
          <w:bCs w:val="1"/>
          <w:color w:val="auto"/>
        </w:rPr>
      </w:pPr>
    </w:p>
    <w:p>
      <w:pPr>
        <w:ind w:left="1740" w:hanging="312"/>
        <w:spacing w:after="0"/>
        <w:tabs>
          <w:tab w:leader="none" w:pos="174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Any wanton or willful dereliction of duties by Executive.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shall mean the occurrence of any of the following events or circumstances:</w:t>
      </w:r>
    </w:p>
    <w:p>
      <w:pPr>
        <w:spacing w:after="0" w:line="117" w:lineRule="exact"/>
        <w:rPr>
          <w:sz w:val="20"/>
          <w:szCs w:val="20"/>
          <w:color w:val="auto"/>
        </w:rPr>
      </w:pPr>
    </w:p>
    <w:p>
      <w:pPr>
        <w:ind w:firstLine="1428"/>
        <w:spacing w:after="0" w:line="277" w:lineRule="auto"/>
        <w:tabs>
          <w:tab w:leader="none" w:pos="1647"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any “person” (within the meaning of Section 13(d) or 14(d) of the Securities Exchange Act of 1934, as amended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including a “group” within the meaning of such Section 13(d) but excluding the Company and any of its subsidiaries and any employee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plan sponsored or maintained by the Company or any subsidiary thereof, shall become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w:t>
      </w:r>
      <w:r>
        <w:rPr>
          <w:rFonts w:ascii="Arial" w:cs="Arial" w:eastAsia="Arial" w:hAnsi="Arial"/>
          <w:sz w:val="17"/>
          <w:szCs w:val="17"/>
          <w:b w:val="1"/>
          <w:bCs w:val="1"/>
          <w:color w:val="auto"/>
        </w:rPr>
        <w:t>Company Voting Securities</w:t>
      </w:r>
      <w:r>
        <w:rPr>
          <w:rFonts w:ascii="Arial" w:cs="Arial" w:eastAsia="Arial" w:hAnsi="Arial"/>
          <w:sz w:val="17"/>
          <w:szCs w:val="17"/>
          <w:color w:val="auto"/>
        </w:rPr>
        <w:t>”);</w:t>
      </w:r>
    </w:p>
    <w:p>
      <w:pPr>
        <w:sectPr>
          <w:pgSz w:w="11900" w:h="16838" w:orient="portrait"/>
          <w:cols w:equalWidth="0" w:num="1">
            <w:col w:w="10940"/>
          </w:cols>
          <w:pgMar w:left="440" w:top="270" w:right="519" w:bottom="1440" w:gutter="0" w:footer="0" w:header="0"/>
        </w:sectPr>
      </w:pPr>
    </w:p>
    <w:bookmarkStart w:id="339" w:name="page340"/>
    <w:bookmarkEnd w:id="339"/>
    <w:p>
      <w:pPr>
        <w:ind w:firstLine="1428"/>
        <w:spacing w:after="0" w:line="293" w:lineRule="auto"/>
        <w:tabs>
          <w:tab w:leader="none" w:pos="1697"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consummation of a merger or consolidation involving the Company, or the acceptance by the stockholders of the Company of equity securities in a share exchange, where the Persons who were the beneficial owners of the Company Voting Securities outstanding immediately prior to such merger, consolidation or share exchange, do not beneficially own, directly or indirectly, immediately after such merger, consolidation or share exchange, securities representing more than fifty percent (50%) of the combined voting power of the then-outstanding Company Voting Securities or voting securities of the Acquiring Company in such merger, consolidation or share exchange, in substantially the same proportions as their ownership of the Company Voting Securities immediately prior to such merger, consolidation or share exchange;</w:t>
      </w:r>
    </w:p>
    <w:p>
      <w:pPr>
        <w:spacing w:after="0" w:line="56" w:lineRule="exact"/>
        <w:rPr>
          <w:rFonts w:ascii="Arial" w:cs="Arial" w:eastAsia="Arial" w:hAnsi="Arial"/>
          <w:sz w:val="16"/>
          <w:szCs w:val="16"/>
          <w:b w:val="1"/>
          <w:bCs w:val="1"/>
          <w:color w:val="auto"/>
        </w:rPr>
      </w:pPr>
    </w:p>
    <w:p>
      <w:pPr>
        <w:ind w:right="20" w:firstLine="1428"/>
        <w:spacing w:after="0" w:line="275" w:lineRule="auto"/>
        <w:tabs>
          <w:tab w:leader="none" w:pos="1747"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t xml:space="preserve">a sale, exchange or other disposition or transfer (in one transaction or a series of related transactions) of all or substantially all of the assets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Change in Control shall not be deemed to have occurred where: (x) the Company sells, exchanges or otherwise disposes or transfers all or substantially all of its assets to another Person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expressly assumes this Agreement; or</w:t>
      </w:r>
    </w:p>
    <w:p>
      <w:pPr>
        <w:spacing w:after="0" w:line="68" w:lineRule="exact"/>
        <w:rPr>
          <w:rFonts w:ascii="Arial" w:cs="Arial" w:eastAsia="Arial" w:hAnsi="Arial"/>
          <w:sz w:val="17"/>
          <w:szCs w:val="17"/>
          <w:b w:val="1"/>
          <w:bCs w:val="1"/>
          <w:color w:val="auto"/>
        </w:rPr>
      </w:pPr>
    </w:p>
    <w:p>
      <w:pPr>
        <w:ind w:right="40" w:firstLine="1428"/>
        <w:spacing w:after="0" w:line="291" w:lineRule="auto"/>
        <w:tabs>
          <w:tab w:leader="none" w:pos="1737"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such time as the Continuing Directors (as defined below) do not constitute at least a majority of the Board (or, if applicable, the board of directors of a successor to the Company), where the term “Continuing Director” means at any date a member of the Board who was: (x) a member of the Board on the Effective Date; or (y)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shall be a Continuing Director).</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 Period</w:t>
      </w:r>
      <w:r>
        <w:rPr>
          <w:rFonts w:ascii="Arial" w:cs="Arial" w:eastAsia="Arial" w:hAnsi="Arial"/>
          <w:sz w:val="18"/>
          <w:szCs w:val="18"/>
          <w:color w:val="auto"/>
        </w:rPr>
        <w:t>” shall mean the period commencing three (3) months prior to a Change in Control and ending on the eighteen (18)-month anniversary of the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permanent and total disability within the meaning of Section 22(e) of the Code.</w:t>
      </w:r>
    </w:p>
    <w:p>
      <w:pPr>
        <w:spacing w:after="0" w:line="22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Good Reason</w:t>
      </w:r>
      <w:r>
        <w:rPr>
          <w:rFonts w:ascii="Arial" w:cs="Arial" w:eastAsia="Arial" w:hAnsi="Arial"/>
          <w:sz w:val="17"/>
          <w:szCs w:val="17"/>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your Annual Base Salary); (ii) a material reduction of Executive’s duties and responsibilities from those in effect on the Effective Date; (iii) the Company’s material breach of this Agreement (other than a reduction of your Annual Base Salary as part of a reduction in the base salaries of all or substantially all other similarly situated employees of the Company that is in the same proportion as the reduction in your Annual Base Salary); or (iv) the permanent, non-voluntary relocation of Executive’s principal place of employment that increases Executive’s one-way</w:t>
      </w:r>
    </w:p>
    <w:p>
      <w:pPr>
        <w:sectPr>
          <w:pgSz w:w="11900" w:h="16838" w:orient="portrait"/>
          <w:cols w:equalWidth="0" w:num="1">
            <w:col w:w="11020"/>
          </w:cols>
          <w:pgMar w:left="440" w:top="274" w:right="439" w:bottom="1440" w:gutter="0" w:footer="0" w:header="0"/>
        </w:sectPr>
      </w:pPr>
    </w:p>
    <w:bookmarkStart w:id="340" w:name="page341"/>
    <w:bookmarkEnd w:id="34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commute by more than thirty-five (35) miles, </w:t>
      </w:r>
      <w:r>
        <w:rPr>
          <w:rFonts w:ascii="Arial" w:cs="Arial" w:eastAsia="Arial" w:hAnsi="Arial"/>
          <w:sz w:val="17"/>
          <w:szCs w:val="17"/>
          <w:i w:val="1"/>
          <w:iCs w:val="1"/>
          <w:color w:val="auto"/>
        </w:rPr>
        <w:t>provided</w:t>
      </w:r>
      <w:r>
        <w:rPr>
          <w:rFonts w:ascii="Arial" w:cs="Arial" w:eastAsia="Arial" w:hAnsi="Arial"/>
          <w:sz w:val="17"/>
          <w:szCs w:val="17"/>
          <w:color w:val="auto"/>
        </w:rPr>
        <w:t>, that, in each case, Executive will not be deemed to have Good Reason unless (A)Executive first provides the Board with written notice of the condition giving rise to Good Reason within thirty (30)days of its initial occurrence, (B)the Company or the successor company fails to cure such condition within ten (10)days after receiving such written notice (the “Cure Period”), and (C)Executive’s resignation based on such Good Reason is effective within thirty (30)days after the expiration of the Cure Period.</w:t>
      </w:r>
    </w:p>
    <w:p>
      <w:pPr>
        <w:spacing w:after="0" w:line="16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Involuntary Termination</w:t>
      </w:r>
      <w:r>
        <w:rPr>
          <w:rFonts w:ascii="Arial" w:cs="Arial" w:eastAsia="Arial" w:hAnsi="Arial"/>
          <w:sz w:val="18"/>
          <w:szCs w:val="18"/>
          <w:color w:val="auto"/>
        </w:rPr>
        <w:t>” shall mean Executive’s termination (A) by the Company without Cause, (B) by Executive for Good Reason, (C) due to death or (D) due to Disability.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any individual, corporation, limited liability corporation, partnership, or other business entity.</w:t>
      </w:r>
    </w:p>
    <w:p>
      <w:pPr>
        <w:sectPr>
          <w:pgSz w:w="11900" w:h="16838" w:orient="portrait"/>
          <w:cols w:equalWidth="0" w:num="1">
            <w:col w:w="10920"/>
          </w:cols>
          <w:pgMar w:left="440" w:top="274" w:right="5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i w:val="1"/>
          <w:iCs w:val="1"/>
          <w:color w:val="auto"/>
        </w:rPr>
        <w:t>Exhibit 10.9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This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this 9</w:t>
      </w:r>
      <w:r>
        <w:rPr>
          <w:rFonts w:ascii="Arial" w:cs="Arial" w:eastAsia="Arial" w:hAnsi="Arial"/>
          <w:sz w:val="14"/>
          <w:szCs w:val="14"/>
          <w:color w:val="auto"/>
        </w:rPr>
        <w:t>th</w:t>
      </w:r>
      <w:r>
        <w:rPr>
          <w:rFonts w:ascii="Arial" w:cs="Arial" w:eastAsia="Arial" w:hAnsi="Arial"/>
          <w:sz w:val="17"/>
          <w:szCs w:val="17"/>
          <w:color w:val="auto"/>
        </w:rPr>
        <w:t xml:space="preserve"> day of November,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Tyra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Hiroomi Tada (“</w:t>
      </w:r>
      <w:r>
        <w:rPr>
          <w:rFonts w:ascii="Arial" w:cs="Arial" w:eastAsia="Arial" w:hAnsi="Arial"/>
          <w:sz w:val="17"/>
          <w:szCs w:val="17"/>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Capitalized terms used herein and not otherwise defined shall have those meanings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 xml:space="preserve"> hereto.</w:t>
      </w:r>
    </w:p>
    <w:p>
      <w:pPr>
        <w:spacing w:after="0" w:line="16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retain the services of Executive by engaging Executive to perform services as an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hereof;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desires to provide services to the Company on the terms hereof.</w:t>
      </w:r>
    </w:p>
    <w:p>
      <w:pPr>
        <w:spacing w:after="0" w:line="225"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140" w:lineRule="exact"/>
        <w:rPr>
          <w:sz w:val="20"/>
          <w:szCs w:val="20"/>
          <w:color w:val="auto"/>
        </w:rPr>
      </w:pPr>
    </w:p>
    <w:p>
      <w:pPr>
        <w:ind w:left="620" w:hanging="184"/>
        <w:spacing w:after="0"/>
        <w:tabs>
          <w:tab w:leader="none" w:pos="62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263"/>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employ Executive upon the terms and conditions provided herein effective as of the Effective Date.</w:t>
      </w:r>
    </w:p>
    <w:p>
      <w:pPr>
        <w:spacing w:after="0" w:line="128" w:lineRule="exact"/>
        <w:rPr>
          <w:rFonts w:ascii="Arial" w:cs="Arial" w:eastAsia="Arial" w:hAnsi="Arial"/>
          <w:sz w:val="17"/>
          <w:szCs w:val="17"/>
          <w:b w:val="1"/>
          <w:bCs w:val="1"/>
          <w:color w:val="auto"/>
        </w:rPr>
      </w:pPr>
    </w:p>
    <w:p>
      <w:pPr>
        <w:ind w:right="240" w:firstLine="987"/>
        <w:spacing w:after="0" w:line="255" w:lineRule="auto"/>
        <w:tabs>
          <w:tab w:leader="none" w:pos="1256" w:val="left"/>
        </w:tabs>
        <w:numPr>
          <w:ilvl w:val="1"/>
          <w:numId w:val="263"/>
        </w:numPr>
        <w:rPr>
          <w:rFonts w:ascii="Arial" w:cs="Arial" w:eastAsia="Arial" w:hAnsi="Arial"/>
          <w:sz w:val="18"/>
          <w:szCs w:val="18"/>
          <w:b w:val="1"/>
          <w:bCs w:val="1"/>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on the Effective Date, Executive shall serve as the Company’s Chief Medical Officer, with responsibilities, duties, and authority usual and customary for such position subject to direction by the Chief Executive Officer (the “</w:t>
      </w:r>
      <w:r>
        <w:rPr>
          <w:rFonts w:ascii="Arial" w:cs="Arial" w:eastAsia="Arial" w:hAnsi="Arial"/>
          <w:sz w:val="18"/>
          <w:szCs w:val="18"/>
          <w:u w:val="single" w:color="auto"/>
          <w:color w:val="auto"/>
        </w:rPr>
        <w:t>CEO</w:t>
      </w:r>
      <w:r>
        <w:rPr>
          <w:rFonts w:ascii="Arial" w:cs="Arial" w:eastAsia="Arial" w:hAnsi="Arial"/>
          <w:sz w:val="18"/>
          <w:szCs w:val="18"/>
          <w:color w:val="auto"/>
        </w:rPr>
        <w:t>”). During Executive’s employment with the Company, Executive shall report directly to the CEO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84" w:lineRule="exact"/>
        <w:rPr>
          <w:rFonts w:ascii="Arial" w:cs="Arial" w:eastAsia="Arial" w:hAnsi="Arial"/>
          <w:sz w:val="18"/>
          <w:szCs w:val="18"/>
          <w:b w:val="1"/>
          <w:bCs w:val="1"/>
          <w:color w:val="auto"/>
        </w:rPr>
      </w:pPr>
    </w:p>
    <w:p>
      <w:pPr>
        <w:ind w:right="80" w:firstLine="987"/>
        <w:spacing w:after="0" w:line="254" w:lineRule="auto"/>
        <w:tabs>
          <w:tab w:leader="none" w:pos="1236" w:val="left"/>
        </w:tabs>
        <w:numPr>
          <w:ilvl w:val="1"/>
          <w:numId w:val="263"/>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Executive’s Duties</w:t>
      </w:r>
      <w:r>
        <w:rPr>
          <w:rFonts w:ascii="Arial" w:cs="Arial" w:eastAsia="Arial" w:hAnsi="Arial"/>
          <w:sz w:val="18"/>
          <w:szCs w:val="18"/>
          <w:color w:val="auto"/>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CEO; provided that nothing herein shall preclude Executive from, subject to prior consent of the CEO: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 do not individually or in the aggregate interfere with the performance of Executive’s duties under this Agreement, violate the Company’s standards of conduct then in effect or raise a conflict under the Company’s conflict of interest policies.</w:t>
      </w:r>
    </w:p>
    <w:p>
      <w:pPr>
        <w:sectPr>
          <w:pgSz w:w="11900" w:h="16838" w:orient="portrait"/>
          <w:cols w:equalWidth="0" w:num="1">
            <w:col w:w="11020"/>
          </w:cols>
          <w:pgMar w:left="440" w:top="125" w:right="439" w:bottom="1440" w:gutter="0" w:footer="0" w:header="0"/>
        </w:sectPr>
      </w:pPr>
    </w:p>
    <w:bookmarkStart w:id="342" w:name="page343"/>
    <w:bookmarkEnd w:id="342"/>
    <w:p>
      <w:pPr>
        <w:ind w:left="-20" w:right="80" w:firstLine="436"/>
        <w:spacing w:after="0" w:line="266" w:lineRule="auto"/>
        <w:tabs>
          <w:tab w:leader="none" w:pos="60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r>
        <w:rPr>
          <w:rFonts w:ascii="Arial" w:cs="Arial" w:eastAsia="Arial" w:hAnsi="Arial"/>
          <w:sz w:val="18"/>
          <w:szCs w:val="18"/>
          <w:color w:val="auto"/>
        </w:rPr>
        <w:t>. The period of Executive’s employment under this Agreement shall commence on the Effective Date and shall continue until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The phrase “</w:t>
      </w:r>
      <w:r>
        <w:rPr>
          <w:rFonts w:ascii="Arial" w:cs="Arial" w:eastAsia="Arial" w:hAnsi="Arial"/>
          <w:sz w:val="18"/>
          <w:szCs w:val="18"/>
          <w:u w:val="single" w:color="auto"/>
          <w:color w:val="auto"/>
        </w:rPr>
        <w:t>Term of Employment</w:t>
      </w:r>
      <w:r>
        <w:rPr>
          <w:rFonts w:ascii="Arial" w:cs="Arial" w:eastAsia="Arial" w:hAnsi="Arial"/>
          <w:sz w:val="18"/>
          <w:szCs w:val="18"/>
          <w:color w:val="auto"/>
        </w:rPr>
        <w:t>” as used in this Agreement shall refer to the entire period of employment of Executive by the Company.</w:t>
      </w:r>
    </w:p>
    <w:p>
      <w:pPr>
        <w:spacing w:after="0" w:line="67" w:lineRule="exact"/>
        <w:rPr>
          <w:rFonts w:ascii="Arial" w:cs="Arial" w:eastAsia="Arial" w:hAnsi="Arial"/>
          <w:sz w:val="18"/>
          <w:szCs w:val="18"/>
          <w:b w:val="1"/>
          <w:bCs w:val="1"/>
          <w:color w:val="auto"/>
        </w:rPr>
      </w:pPr>
    </w:p>
    <w:p>
      <w:pPr>
        <w:ind w:left="600" w:hanging="184"/>
        <w:spacing w:after="0"/>
        <w:tabs>
          <w:tab w:leader="none" w:pos="60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right="40" w:firstLine="987"/>
        <w:spacing w:after="0" w:line="279" w:lineRule="auto"/>
        <w:tabs>
          <w:tab w:leader="none" w:pos="1226" w:val="left"/>
        </w:tabs>
        <w:numPr>
          <w:ilvl w:val="1"/>
          <w:numId w:val="264"/>
        </w:numPr>
        <w:rPr>
          <w:rFonts w:ascii="Arial" w:cs="Arial" w:eastAsia="Arial" w:hAnsi="Arial"/>
          <w:sz w:val="17"/>
          <w:szCs w:val="17"/>
          <w:b w:val="1"/>
          <w:bCs w:val="1"/>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Executive shall receive a base salary at the rate of $380,000 per annum (as may be increased from time to time,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 subject to withholdings and deductions, which shall be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not less than annually, and may be increased, but not decreased, in connection with any such review.</w:t>
      </w:r>
    </w:p>
    <w:p>
      <w:pPr>
        <w:spacing w:after="0" w:line="63" w:lineRule="exact"/>
        <w:rPr>
          <w:rFonts w:ascii="Arial" w:cs="Arial" w:eastAsia="Arial" w:hAnsi="Arial"/>
          <w:sz w:val="17"/>
          <w:szCs w:val="17"/>
          <w:b w:val="1"/>
          <w:bCs w:val="1"/>
          <w:color w:val="auto"/>
        </w:rPr>
      </w:pPr>
    </w:p>
    <w:p>
      <w:pPr>
        <w:ind w:left="-20" w:firstLine="987"/>
        <w:spacing w:after="0" w:line="296" w:lineRule="auto"/>
        <w:tabs>
          <w:tab w:leader="none" w:pos="1236" w:val="left"/>
        </w:tabs>
        <w:numPr>
          <w:ilvl w:val="1"/>
          <w:numId w:val="264"/>
        </w:numPr>
        <w:rPr>
          <w:rFonts w:ascii="Arial" w:cs="Arial" w:eastAsia="Arial" w:hAnsi="Arial"/>
          <w:sz w:val="16"/>
          <w:szCs w:val="16"/>
          <w:b w:val="1"/>
          <w:bCs w:val="1"/>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Executive shall be eligible to receive a discretionary annual bonus based on Executive’s achievement of performance objectives as mutually agreed between Executive and the CEO, such bonus target to be equal to 30% of Executive’s Annual Base Salary (the “</w:t>
      </w:r>
      <w:r>
        <w:rPr>
          <w:rFonts w:ascii="Arial" w:cs="Arial" w:eastAsia="Arial" w:hAnsi="Arial"/>
          <w:sz w:val="16"/>
          <w:szCs w:val="16"/>
          <w:u w:val="single" w:color="auto"/>
          <w:color w:val="auto"/>
        </w:rPr>
        <w:t>Annual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 As consideration for signing prior to year-end 2020, your 1</w:t>
      </w:r>
      <w:r>
        <w:rPr>
          <w:rFonts w:ascii="Arial" w:cs="Arial" w:eastAsia="Arial" w:hAnsi="Arial"/>
          <w:sz w:val="13"/>
          <w:szCs w:val="13"/>
          <w:color w:val="auto"/>
        </w:rPr>
        <w:t>st</w:t>
      </w:r>
      <w:r>
        <w:rPr>
          <w:rFonts w:ascii="Arial" w:cs="Arial" w:eastAsia="Arial" w:hAnsi="Arial"/>
          <w:sz w:val="16"/>
          <w:szCs w:val="16"/>
          <w:color w:val="auto"/>
        </w:rPr>
        <w:t xml:space="preserve"> pro-rated bonus due in Q12021 will be equal to the greater of your eligible pro-rated bonus target or $75,000 which represents the bonus you are forgoing with your current employer. Any Annual Bonus earned will be paid at the same time annual bonuses are paid to other executives of the Company generally, subject to any limitations on payment as set forth in Section 6.</w:t>
      </w:r>
    </w:p>
    <w:p>
      <w:pPr>
        <w:spacing w:after="0" w:line="53" w:lineRule="exact"/>
        <w:rPr>
          <w:rFonts w:ascii="Arial" w:cs="Arial" w:eastAsia="Arial" w:hAnsi="Arial"/>
          <w:sz w:val="16"/>
          <w:szCs w:val="16"/>
          <w:b w:val="1"/>
          <w:bCs w:val="1"/>
          <w:color w:val="auto"/>
        </w:rPr>
      </w:pPr>
    </w:p>
    <w:p>
      <w:pPr>
        <w:ind w:left="-20" w:right="180" w:firstLine="987"/>
        <w:spacing w:after="0" w:line="286" w:lineRule="auto"/>
        <w:tabs>
          <w:tab w:leader="none" w:pos="1216" w:val="left"/>
        </w:tabs>
        <w:numPr>
          <w:ilvl w:val="1"/>
          <w:numId w:val="264"/>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57" w:lineRule="exact"/>
        <w:rPr>
          <w:rFonts w:ascii="Arial" w:cs="Arial" w:eastAsia="Arial" w:hAnsi="Arial"/>
          <w:sz w:val="17"/>
          <w:szCs w:val="17"/>
          <w:b w:val="1"/>
          <w:bCs w:val="1"/>
          <w:color w:val="auto"/>
        </w:rPr>
      </w:pPr>
    </w:p>
    <w:p>
      <w:pPr>
        <w:ind w:left="-20" w:right="200" w:firstLine="987"/>
        <w:spacing w:after="0" w:line="259" w:lineRule="auto"/>
        <w:tabs>
          <w:tab w:leader="none" w:pos="1236" w:val="left"/>
        </w:tabs>
        <w:numPr>
          <w:ilvl w:val="1"/>
          <w:numId w:val="264"/>
        </w:numPr>
        <w:rPr>
          <w:rFonts w:ascii="Arial" w:cs="Arial" w:eastAsia="Arial" w:hAnsi="Arial"/>
          <w:sz w:val="18"/>
          <w:szCs w:val="18"/>
          <w:b w:val="1"/>
          <w:bCs w:val="1"/>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The Company will also cover the expense of travel, room and board when working from Company headquarters in Carlsbad, CA.</w:t>
      </w:r>
    </w:p>
    <w:p>
      <w:pPr>
        <w:spacing w:after="0" w:line="78" w:lineRule="exact"/>
        <w:rPr>
          <w:rFonts w:ascii="Arial" w:cs="Arial" w:eastAsia="Arial" w:hAnsi="Arial"/>
          <w:sz w:val="18"/>
          <w:szCs w:val="18"/>
          <w:b w:val="1"/>
          <w:bCs w:val="1"/>
          <w:color w:val="auto"/>
        </w:rPr>
      </w:pPr>
    </w:p>
    <w:p>
      <w:pPr>
        <w:ind w:left="-20" w:right="100" w:firstLine="987"/>
        <w:spacing w:after="0" w:line="277" w:lineRule="auto"/>
        <w:tabs>
          <w:tab w:leader="none" w:pos="1216" w:val="left"/>
        </w:tabs>
        <w:numPr>
          <w:ilvl w:val="1"/>
          <w:numId w:val="264"/>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not less than fifteen (15) business days of paid vacation each calendar year, pro-rated for partial calendar years of service, which may be taken in accordance with the Company’s vacation policy.</w:t>
      </w:r>
    </w:p>
    <w:p>
      <w:pPr>
        <w:spacing w:after="0" w:line="62" w:lineRule="exact"/>
        <w:rPr>
          <w:rFonts w:ascii="Arial" w:cs="Arial" w:eastAsia="Arial" w:hAnsi="Arial"/>
          <w:sz w:val="18"/>
          <w:szCs w:val="18"/>
          <w:b w:val="1"/>
          <w:bCs w:val="1"/>
          <w:color w:val="auto"/>
        </w:rPr>
      </w:pPr>
    </w:p>
    <w:p>
      <w:pPr>
        <w:ind w:left="1200" w:hanging="233"/>
        <w:spacing w:after="0"/>
        <w:tabs>
          <w:tab w:leader="none" w:pos="1200" w:val="left"/>
        </w:tabs>
        <w:numPr>
          <w:ilvl w:val="1"/>
          <w:numId w:val="264"/>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shall be eligible to receive grants of equity awards in the Company’s sole discretion.</w:t>
      </w:r>
    </w:p>
    <w:p>
      <w:pPr>
        <w:spacing w:after="0" w:line="117" w:lineRule="exact"/>
        <w:rPr>
          <w:rFonts w:ascii="Arial" w:cs="Arial" w:eastAsia="Arial" w:hAnsi="Arial"/>
          <w:sz w:val="18"/>
          <w:szCs w:val="18"/>
          <w:b w:val="1"/>
          <w:bCs w:val="1"/>
          <w:color w:val="auto"/>
        </w:rPr>
      </w:pPr>
    </w:p>
    <w:p>
      <w:pPr>
        <w:ind w:left="-20" w:right="60" w:firstLine="987"/>
        <w:spacing w:after="0" w:line="277" w:lineRule="auto"/>
        <w:tabs>
          <w:tab w:leader="none" w:pos="1226" w:val="left"/>
        </w:tabs>
        <w:numPr>
          <w:ilvl w:val="1"/>
          <w:numId w:val="264"/>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Agreement; Insurance</w:t>
      </w:r>
      <w:r>
        <w:rPr>
          <w:rFonts w:ascii="Arial" w:cs="Arial" w:eastAsia="Arial" w:hAnsi="Arial"/>
          <w:sz w:val="18"/>
          <w:szCs w:val="18"/>
          <w:color w:val="auto"/>
        </w:rPr>
        <w:t>. As an officer of the Company, Executive shall be entitled to enter into the Company’s standard indemnification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0" w:right="459" w:bottom="1440" w:gutter="0" w:footer="0" w:header="0"/>
        </w:sectPr>
      </w:pPr>
    </w:p>
    <w:bookmarkStart w:id="343" w:name="page344"/>
    <w:bookmarkEnd w:id="343"/>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will also be covered under a directors and officers liability insurance policy paid for by the Company for so long as Executive serves as an officer of the Company.</w:t>
      </w:r>
    </w:p>
    <w:p>
      <w:pPr>
        <w:spacing w:after="0" w:line="58" w:lineRule="exact"/>
        <w:rPr>
          <w:sz w:val="20"/>
          <w:szCs w:val="20"/>
          <w:color w:val="auto"/>
        </w:rPr>
      </w:pPr>
    </w:p>
    <w:p>
      <w:pPr>
        <w:ind w:left="4" w:right="40" w:firstLine="436"/>
        <w:spacing w:after="0" w:line="270" w:lineRule="auto"/>
        <w:tabs>
          <w:tab w:leader="none" w:pos="624" w:val="left"/>
        </w:tabs>
        <w:numPr>
          <w:ilvl w:val="1"/>
          <w:numId w:val="2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Acceleration of Equity Awards Upon a Change in Control</w:t>
      </w:r>
      <w:r>
        <w:rPr>
          <w:rFonts w:ascii="Arial" w:cs="Arial" w:eastAsia="Arial" w:hAnsi="Arial"/>
          <w:sz w:val="17"/>
          <w:szCs w:val="17"/>
          <w:color w:val="auto"/>
        </w:rPr>
        <w:t>. Notwithstanding anything herein to the contrary, in the event of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vesting of Executive’s then outstanding options, restricted stock and other equity awards covering shares of the Company’s common stock (collectively, “</w:t>
      </w:r>
      <w:r>
        <w:rPr>
          <w:rFonts w:ascii="Arial" w:cs="Arial" w:eastAsia="Arial" w:hAnsi="Arial"/>
          <w:sz w:val="17"/>
          <w:szCs w:val="17"/>
          <w:u w:val="single" w:color="auto"/>
          <w:color w:val="auto"/>
        </w:rPr>
        <w:t>Equity Awards</w:t>
      </w:r>
      <w:r>
        <w:rPr>
          <w:rFonts w:ascii="Arial" w:cs="Arial" w:eastAsia="Arial" w:hAnsi="Arial"/>
          <w:sz w:val="17"/>
          <w:szCs w:val="17"/>
          <w:color w:val="auto"/>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68" w:lineRule="exact"/>
        <w:rPr>
          <w:rFonts w:ascii="Arial" w:cs="Arial" w:eastAsia="Arial" w:hAnsi="Arial"/>
          <w:sz w:val="17"/>
          <w:szCs w:val="17"/>
          <w:b w:val="1"/>
          <w:bCs w:val="1"/>
          <w:color w:val="auto"/>
        </w:rPr>
      </w:pPr>
    </w:p>
    <w:p>
      <w:pPr>
        <w:ind w:left="624" w:hanging="184"/>
        <w:spacing w:after="0"/>
        <w:tabs>
          <w:tab w:leader="none" w:pos="624" w:val="left"/>
        </w:tabs>
        <w:numPr>
          <w:ilvl w:val="1"/>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290" w:lineRule="auto"/>
        <w:tabs>
          <w:tab w:leader="none" w:pos="1250" w:val="left"/>
        </w:tabs>
        <w:numPr>
          <w:ilvl w:val="2"/>
          <w:numId w:val="265"/>
        </w:numPr>
        <w:rPr>
          <w:rFonts w:ascii="Arial" w:cs="Arial" w:eastAsia="Arial" w:hAnsi="Arial"/>
          <w:sz w:val="16"/>
          <w:szCs w:val="16"/>
          <w:b w:val="1"/>
          <w:bCs w:val="1"/>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CEO. If Executive’s employment terminates for any lawful reason, Executive shall not be entitled to any payments, benefits, Equity Awards or other compensation other than as provided in this Agreement.</w:t>
      </w:r>
    </w:p>
    <w:p>
      <w:pPr>
        <w:spacing w:after="0" w:line="57" w:lineRule="exact"/>
        <w:rPr>
          <w:rFonts w:ascii="Arial" w:cs="Arial" w:eastAsia="Arial" w:hAnsi="Arial"/>
          <w:sz w:val="16"/>
          <w:szCs w:val="16"/>
          <w:b w:val="1"/>
          <w:bCs w:val="1"/>
          <w:color w:val="auto"/>
        </w:rPr>
      </w:pPr>
    </w:p>
    <w:p>
      <w:pPr>
        <w:ind w:left="4" w:right="20" w:firstLine="987"/>
        <w:spacing w:after="0" w:line="291" w:lineRule="auto"/>
        <w:tabs>
          <w:tab w:leader="none" w:pos="1260" w:val="left"/>
        </w:tabs>
        <w:numPr>
          <w:ilvl w:val="2"/>
          <w:numId w:val="265"/>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During the Term of Employment, any termination of Executive’s employment by the Company or by Executive (other than by reason of death) shall be communicated by written notice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from one Party hereto to the other Party hereto</w:t>
      </w:r>
    </w:p>
    <w:p>
      <w:pPr>
        <w:ind w:left="4" w:hanging="4"/>
        <w:spacing w:after="0" w:line="269" w:lineRule="auto"/>
        <w:tabs>
          <w:tab w:leader="none" w:pos="21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44" w:name="page345"/>
    <w:bookmarkEnd w:id="344"/>
    <w:p>
      <w:pPr>
        <w:ind w:left="4" w:right="180" w:firstLine="987"/>
        <w:spacing w:after="0" w:line="263" w:lineRule="auto"/>
        <w:tabs>
          <w:tab w:leader="none" w:pos="1240" w:val="left"/>
        </w:tabs>
        <w:numPr>
          <w:ilvl w:val="2"/>
          <w:numId w:val="267"/>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Resignation</w:t>
      </w:r>
      <w:r>
        <w:rPr>
          <w:rFonts w:ascii="Arial" w:cs="Arial" w:eastAsia="Arial" w:hAnsi="Arial"/>
          <w:sz w:val="18"/>
          <w:szCs w:val="18"/>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71" w:lineRule="exact"/>
        <w:rPr>
          <w:rFonts w:ascii="Arial" w:cs="Arial" w:eastAsia="Arial" w:hAnsi="Arial"/>
          <w:sz w:val="18"/>
          <w:szCs w:val="18"/>
          <w:b w:val="1"/>
          <w:bCs w:val="1"/>
          <w:color w:val="auto"/>
        </w:rPr>
      </w:pPr>
    </w:p>
    <w:p>
      <w:pPr>
        <w:ind w:left="624" w:hanging="184"/>
        <w:spacing w:after="0"/>
        <w:tabs>
          <w:tab w:leader="none" w:pos="624" w:val="left"/>
        </w:tabs>
        <w:numPr>
          <w:ilvl w:val="1"/>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Consequences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311" w:lineRule="auto"/>
        <w:tabs>
          <w:tab w:leader="none" w:pos="1250" w:val="left"/>
        </w:tabs>
        <w:numPr>
          <w:ilvl w:val="2"/>
          <w:numId w:val="268"/>
        </w:numPr>
        <w:rPr>
          <w:rFonts w:ascii="Arial" w:cs="Arial" w:eastAsia="Arial" w:hAnsi="Arial"/>
          <w:sz w:val="16"/>
          <w:szCs w:val="16"/>
          <w:b w:val="1"/>
          <w:bCs w:val="1"/>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the event Executive’s employment with the Company terminates pursuant to Section 5, then Executive shall be entitled to the applicable payments and benefits set forth below subject to Executive delivering to the Company a waiver and release of claims agreement in standard reasonable form approved by the Company that becomes effective and irrevocable in accordance with Section 7 hereof (a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40" w:lineRule="exact"/>
        <w:rPr>
          <w:rFonts w:ascii="Arial" w:cs="Arial" w:eastAsia="Arial" w:hAnsi="Arial"/>
          <w:sz w:val="16"/>
          <w:szCs w:val="16"/>
          <w:b w:val="1"/>
          <w:bCs w:val="1"/>
          <w:color w:val="auto"/>
        </w:rPr>
      </w:pPr>
    </w:p>
    <w:p>
      <w:pPr>
        <w:ind w:left="4" w:firstLine="987"/>
        <w:spacing w:after="0" w:line="285" w:lineRule="auto"/>
        <w:tabs>
          <w:tab w:leader="none" w:pos="1260" w:val="left"/>
        </w:tabs>
        <w:numPr>
          <w:ilvl w:val="2"/>
          <w:numId w:val="268"/>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Payments upon Termination by the Company for Cause or by Executive Without Good Reason</w:t>
      </w:r>
      <w:r>
        <w:rPr>
          <w:rFonts w:ascii="Arial" w:cs="Arial" w:eastAsia="Arial" w:hAnsi="Arial"/>
          <w:sz w:val="16"/>
          <w:szCs w:val="16"/>
          <w:color w:val="auto"/>
        </w:rPr>
        <w:t>. Upon a termination of Executive’s employment with the Company at any time for Cause, Executive (or Executive’s estate or legal representative, as applicable) shall be entitled to receive, within thirty (30) days of the effective date of termination of employment with the Company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3(e) above; and</w:t>
      </w:r>
    </w:p>
    <w:p>
      <w:pPr>
        <w:spacing w:after="0" w:line="1" w:lineRule="exact"/>
        <w:rPr>
          <w:rFonts w:ascii="Arial" w:cs="Arial" w:eastAsia="Arial" w:hAnsi="Arial"/>
          <w:sz w:val="16"/>
          <w:szCs w:val="16"/>
          <w:b w:val="1"/>
          <w:bCs w:val="1"/>
          <w:color w:val="auto"/>
        </w:rPr>
      </w:pPr>
    </w:p>
    <w:p>
      <w:pPr>
        <w:ind w:left="4" w:hanging="4"/>
        <w:spacing w:after="0" w:line="252" w:lineRule="auto"/>
        <w:tabs>
          <w:tab w:leader="none" w:pos="31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accrued but unused paid time-off owed to Executive ((i)-(iii) defined as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 Any termination of employment by Executive without Good Reason shall be deemed, and shall be treated as, a termination for “Cause”, and accordingly, the Company shall only be obligated to pay to Executive the amounts described in this Section 6(b).</w:t>
      </w:r>
    </w:p>
    <w:p>
      <w:pPr>
        <w:spacing w:after="0" w:line="85" w:lineRule="exact"/>
        <w:rPr>
          <w:rFonts w:ascii="Arial" w:cs="Arial" w:eastAsia="Arial" w:hAnsi="Arial"/>
          <w:sz w:val="18"/>
          <w:szCs w:val="18"/>
          <w:color w:val="auto"/>
        </w:rPr>
      </w:pPr>
    </w:p>
    <w:p>
      <w:pPr>
        <w:ind w:left="4" w:right="540" w:firstLine="987"/>
        <w:spacing w:after="0" w:line="342" w:lineRule="auto"/>
        <w:tabs>
          <w:tab w:leader="none" w:pos="1240" w:val="left"/>
        </w:tabs>
        <w:numPr>
          <w:ilvl w:val="2"/>
          <w:numId w:val="269"/>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Outside a Change in Control Period</w:t>
      </w:r>
      <w:r>
        <w:rPr>
          <w:rFonts w:ascii="Arial" w:cs="Arial" w:eastAsia="Arial" w:hAnsi="Arial"/>
          <w:sz w:val="16"/>
          <w:szCs w:val="16"/>
          <w:color w:val="auto"/>
        </w:rPr>
        <w:t>. If, outside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4" w:hanging="212"/>
        <w:spacing w:after="0"/>
        <w:tabs>
          <w:tab w:leader="none" w:pos="1644" w:val="left"/>
        </w:tabs>
        <w:numPr>
          <w:ilvl w:val="3"/>
          <w:numId w:val="269"/>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4" w:right="320" w:firstLine="1428"/>
        <w:spacing w:after="0" w:line="277" w:lineRule="auto"/>
        <w:tabs>
          <w:tab w:leader="none" w:pos="1701" w:val="left"/>
        </w:tabs>
        <w:numPr>
          <w:ilvl w:val="3"/>
          <w:numId w:val="269"/>
        </w:numPr>
        <w:rPr>
          <w:rFonts w:ascii="Arial" w:cs="Arial" w:eastAsia="Arial" w:hAnsi="Arial"/>
          <w:sz w:val="18"/>
          <w:szCs w:val="18"/>
          <w:b w:val="1"/>
          <w:bCs w:val="1"/>
          <w:color w:val="auto"/>
        </w:rPr>
      </w:pPr>
      <w:r>
        <w:rPr>
          <w:rFonts w:ascii="Arial" w:cs="Arial" w:eastAsia="Arial" w:hAnsi="Arial"/>
          <w:sz w:val="18"/>
          <w:szCs w:val="18"/>
          <w:color w:val="auto"/>
        </w:rPr>
        <w:t>an amount in cash equal to (A) twelve months of Executive’s Annual Base Salary plus (B) Executive’s target Annual Bonus, pro-rated based on the total number of days elapsed in the calendar year as of Executive’s Date of Termination;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345" w:name="page346"/>
    <w:bookmarkEnd w:id="345"/>
    <w:p>
      <w:pPr>
        <w:jc w:val="both"/>
        <w:ind w:firstLine="1428"/>
        <w:spacing w:after="0" w:line="263" w:lineRule="auto"/>
        <w:tabs>
          <w:tab w:leader="none" w:pos="1747"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fifty percent (50%) of the unvested Equity Awards held by the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right="20" w:firstLine="1428"/>
        <w:spacing w:after="0" w:line="287" w:lineRule="auto"/>
        <w:tabs>
          <w:tab w:leader="none" w:pos="1737"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during the period commencing on the Date of Termination and ending on the six-month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regulations thereunder (“</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Arial" w:cs="Arial" w:eastAsia="Arial" w:hAnsi="Arial"/>
          <w:sz w:val="16"/>
          <w:szCs w:val="16"/>
          <w:u w:val="single" w:color="auto"/>
          <w:color w:val="auto"/>
        </w:rPr>
        <w:t>Benefits Coverage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63" w:lineRule="exact"/>
        <w:rPr>
          <w:rFonts w:ascii="Arial" w:cs="Arial" w:eastAsia="Arial" w:hAnsi="Arial"/>
          <w:sz w:val="16"/>
          <w:szCs w:val="16"/>
          <w:b w:val="1"/>
          <w:bCs w:val="1"/>
          <w:color w:val="auto"/>
        </w:rPr>
      </w:pPr>
    </w:p>
    <w:p>
      <w:pPr>
        <w:ind w:right="660" w:firstLine="987"/>
        <w:spacing w:after="0" w:line="342" w:lineRule="auto"/>
        <w:tabs>
          <w:tab w:leader="none" w:pos="1256" w:val="left"/>
        </w:tabs>
        <w:numPr>
          <w:ilvl w:val="0"/>
          <w:numId w:val="271"/>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During a Change in Control Period</w:t>
      </w:r>
      <w:r>
        <w:rPr>
          <w:rFonts w:ascii="Arial" w:cs="Arial" w:eastAsia="Arial" w:hAnsi="Arial"/>
          <w:sz w:val="16"/>
          <w:szCs w:val="16"/>
          <w:color w:val="auto"/>
        </w:rPr>
        <w:t>. If, during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0" w:hanging="212"/>
        <w:spacing w:after="0"/>
        <w:tabs>
          <w:tab w:leader="none" w:pos="1640"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1700" w:hanging="272"/>
        <w:spacing w:after="0"/>
        <w:tabs>
          <w:tab w:leader="none" w:pos="1700" w:val="left"/>
        </w:tabs>
        <w:numPr>
          <w:ilvl w:val="1"/>
          <w:numId w:val="271"/>
        </w:numPr>
        <w:rPr>
          <w:rFonts w:ascii="Arial" w:cs="Arial" w:eastAsia="Arial" w:hAnsi="Arial"/>
          <w:sz w:val="16"/>
          <w:szCs w:val="16"/>
          <w:b w:val="1"/>
          <w:bCs w:val="1"/>
          <w:color w:val="auto"/>
        </w:rPr>
      </w:pPr>
      <w:r>
        <w:rPr>
          <w:rFonts w:ascii="Arial" w:cs="Arial" w:eastAsia="Arial" w:hAnsi="Arial"/>
          <w:sz w:val="16"/>
          <w:szCs w:val="16"/>
          <w:color w:val="auto"/>
        </w:rPr>
        <w:t>an amount in cash equal to (A) eighteen months of Executive’s Annual Base Salary plus (B) Executive’s target Annual Bonus;</w:t>
      </w:r>
    </w:p>
    <w:p>
      <w:pPr>
        <w:spacing w:after="0" w:line="140" w:lineRule="exact"/>
        <w:rPr>
          <w:rFonts w:ascii="Arial" w:cs="Arial" w:eastAsia="Arial" w:hAnsi="Arial"/>
          <w:sz w:val="16"/>
          <w:szCs w:val="16"/>
          <w:b w:val="1"/>
          <w:bCs w:val="1"/>
          <w:color w:val="auto"/>
        </w:rPr>
      </w:pPr>
    </w:p>
    <w:p>
      <w:pPr>
        <w:jc w:val="both"/>
        <w:ind w:right="120" w:firstLine="1428"/>
        <w:spacing w:after="0" w:line="263" w:lineRule="auto"/>
        <w:tabs>
          <w:tab w:leader="none" w:pos="1747"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one hundred percent (100%) of all unvested Equity Awards held by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right="140" w:firstLine="1428"/>
        <w:spacing w:after="0" w:line="296" w:lineRule="auto"/>
        <w:tabs>
          <w:tab w:leader="none" w:pos="1737" w:val="left"/>
        </w:tabs>
        <w:numPr>
          <w:ilvl w:val="1"/>
          <w:numId w:val="271"/>
        </w:numPr>
        <w:rPr>
          <w:rFonts w:ascii="Arial" w:cs="Arial" w:eastAsia="Arial" w:hAnsi="Arial"/>
          <w:sz w:val="16"/>
          <w:szCs w:val="16"/>
          <w:b w:val="1"/>
          <w:bCs w:val="1"/>
          <w:color w:val="auto"/>
        </w:rPr>
      </w:pPr>
      <w:r>
        <w:rPr>
          <w:rFonts w:ascii="Arial" w:cs="Arial" w:eastAsia="Arial" w:hAnsi="Arial"/>
          <w:sz w:val="16"/>
          <w:szCs w:val="16"/>
          <w:color w:val="auto"/>
        </w:rPr>
        <w:t xml:space="preserve">during the period commencing on the Date of Termination and ending on the first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(1) any plan pursuant to which such benefits are provided is not, or ceases prior to the expiration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46" w:name="page347"/>
    <w:bookmarkEnd w:id="346"/>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80" w:lineRule="exact"/>
        <w:rPr>
          <w:sz w:val="20"/>
          <w:szCs w:val="20"/>
          <w:color w:val="auto"/>
        </w:rPr>
      </w:pPr>
    </w:p>
    <w:p>
      <w:pPr>
        <w:ind w:right="80" w:firstLine="987"/>
        <w:spacing w:after="0" w:line="263" w:lineRule="auto"/>
        <w:tabs>
          <w:tab w:leader="none" w:pos="1236" w:val="left"/>
        </w:tabs>
        <w:numPr>
          <w:ilvl w:val="1"/>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No Other Severance</w:t>
      </w:r>
      <w:r>
        <w:rPr>
          <w:rFonts w:ascii="Arial" w:cs="Arial" w:eastAsia="Arial" w:hAnsi="Arial"/>
          <w:sz w:val="18"/>
          <w:szCs w:val="18"/>
          <w:color w:val="auto"/>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75" w:lineRule="exact"/>
        <w:rPr>
          <w:rFonts w:ascii="Arial" w:cs="Arial" w:eastAsia="Arial" w:hAnsi="Arial"/>
          <w:sz w:val="18"/>
          <w:szCs w:val="18"/>
          <w:b w:val="1"/>
          <w:bCs w:val="1"/>
          <w:color w:val="auto"/>
        </w:rPr>
      </w:pPr>
    </w:p>
    <w:p>
      <w:pPr>
        <w:ind w:right="180" w:firstLine="987"/>
        <w:spacing w:after="0" w:line="263" w:lineRule="auto"/>
        <w:tabs>
          <w:tab w:leader="none" w:pos="1216" w:val="left"/>
        </w:tabs>
        <w:numPr>
          <w:ilvl w:val="1"/>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71" w:lineRule="exact"/>
        <w:rPr>
          <w:rFonts w:ascii="Arial" w:cs="Arial" w:eastAsia="Arial" w:hAnsi="Arial"/>
          <w:sz w:val="18"/>
          <w:szCs w:val="18"/>
          <w:b w:val="1"/>
          <w:bCs w:val="1"/>
          <w:color w:val="auto"/>
        </w:rPr>
      </w:pPr>
    </w:p>
    <w:p>
      <w:pPr>
        <w:ind w:firstLine="436"/>
        <w:spacing w:after="0" w:line="286" w:lineRule="auto"/>
        <w:tabs>
          <w:tab w:leader="none" w:pos="620" w:val="left"/>
        </w:tabs>
        <w:numPr>
          <w:ilvl w:val="0"/>
          <w:numId w:val="2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Notwithstanding anything to the contrary in this Agreement, any payments or other benefits due under this Agreement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are subject to Executive’s execution and delivery of a Release, (a) the Company shall deliver the Release to Executive within ten (10) business days following Executive’s Date of Termination, and the Company’s failure to deliver a Release prior to the expiration of such ten (10) business day period shall constitute a waiver of any requirement to execute a Release, (b) if Executive fails to execute the Release on or prior to the Release Expiration Date (as defined below) or timely revokes Executive’s acceptance of the Release thereafter, Executive shall not be entitled to any payments or benefits otherwise conditioned on the Release, and (c)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(as defined below) shall be made in the later taxable year. For purposes of this Section 7,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(as defined below)) due under this Agreement as a result of Executive’s termination of employment are delayed pursuant to this Section 7, such amounts shall be paid in a lump sum on the first payroll date following the date that Executive executes and does not revoke the Release (and the applicable revocation period has expired) or, in the case of any payments subject to Section 7(c), on the first payroll period to occur in the subsequent taxable year, if later.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47" w:name="page348"/>
    <w:bookmarkEnd w:id="347"/>
    <w:p>
      <w:pPr>
        <w:ind w:left="4" w:firstLine="436"/>
        <w:spacing w:after="0" w:line="294" w:lineRule="auto"/>
        <w:tabs>
          <w:tab w:leader="none" w:pos="624" w:val="left"/>
        </w:tabs>
        <w:numPr>
          <w:ilvl w:val="1"/>
          <w:numId w:val="2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Non-Solicitation of Employees</w:t>
      </w:r>
      <w:r>
        <w:rPr>
          <w:rFonts w:ascii="Arial" w:cs="Arial" w:eastAsia="Arial" w:hAnsi="Arial"/>
          <w:sz w:val="16"/>
          <w:szCs w:val="16"/>
          <w:color w:val="auto"/>
        </w:rPr>
        <w:t>. For a period of one (1) year following Executive’s Date of Termination, Executive shall not, either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spacing w:after="0" w:line="51" w:lineRule="exact"/>
        <w:rPr>
          <w:rFonts w:ascii="Arial" w:cs="Arial" w:eastAsia="Arial" w:hAnsi="Arial"/>
          <w:sz w:val="16"/>
          <w:szCs w:val="16"/>
          <w:b w:val="1"/>
          <w:bCs w:val="1"/>
          <w:color w:val="auto"/>
        </w:rPr>
      </w:pPr>
    </w:p>
    <w:p>
      <w:pPr>
        <w:ind w:left="624" w:hanging="184"/>
        <w:spacing w:after="0"/>
        <w:tabs>
          <w:tab w:leader="none" w:pos="624"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Golden Parachute Excise Tax</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20" w:firstLine="987"/>
        <w:spacing w:after="0" w:line="283" w:lineRule="auto"/>
        <w:tabs>
          <w:tab w:leader="none" w:pos="1250" w:val="left"/>
        </w:tabs>
        <w:numPr>
          <w:ilvl w:val="2"/>
          <w:numId w:val="274"/>
        </w:numPr>
        <w:rPr>
          <w:rFonts w:ascii="Arial" w:cs="Arial" w:eastAsia="Arial" w:hAnsi="Arial"/>
          <w:sz w:val="16"/>
          <w:szCs w:val="16"/>
          <w:b w:val="1"/>
          <w:bCs w:val="1"/>
          <w:color w:val="auto"/>
        </w:rPr>
      </w:pPr>
      <w:r>
        <w:rPr>
          <w:rFonts w:ascii="Arial" w:cs="Arial" w:eastAsia="Arial" w:hAnsi="Arial"/>
          <w:sz w:val="16"/>
          <w:szCs w:val="16"/>
          <w:u w:val="single" w:color="auto"/>
          <w:color w:val="auto"/>
        </w:rPr>
        <w:t>Best Pay</w:t>
      </w:r>
      <w:r>
        <w:rPr>
          <w:rFonts w:ascii="Arial" w:cs="Arial" w:eastAsia="Arial" w:hAnsi="Arial"/>
          <w:sz w:val="16"/>
          <w:szCs w:val="16"/>
          <w:color w:val="auto"/>
        </w:rPr>
        <w:t>. Any provision of this Agreement to the contrary notwithstanding, if any payment or benefit Executive would receive from the Company pursuant to this Agreement or otherwise (“</w:t>
      </w:r>
      <w:r>
        <w:rPr>
          <w:rFonts w:ascii="Arial" w:cs="Arial" w:eastAsia="Arial" w:hAnsi="Arial"/>
          <w:sz w:val="16"/>
          <w:szCs w:val="16"/>
          <w:u w:val="single" w:color="auto"/>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u w:val="single" w:color="auto"/>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u w:val="single" w:color="auto"/>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Arial" w:cs="Arial" w:eastAsia="Arial" w:hAnsi="Arial"/>
          <w:sz w:val="16"/>
          <w:szCs w:val="16"/>
          <w:b w:val="1"/>
          <w:bCs w:val="1"/>
          <w:color w:val="auto"/>
        </w:rPr>
      </w:pPr>
    </w:p>
    <w:p>
      <w:pPr>
        <w:ind w:left="4" w:right="200" w:hanging="4"/>
        <w:spacing w:after="0" w:line="295" w:lineRule="auto"/>
        <w:tabs>
          <w:tab w:leader="none" w:pos="25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53" w:lineRule="exact"/>
        <w:rPr>
          <w:rFonts w:ascii="Arial" w:cs="Arial" w:eastAsia="Arial" w:hAnsi="Arial"/>
          <w:sz w:val="16"/>
          <w:szCs w:val="16"/>
          <w:color w:val="auto"/>
        </w:rPr>
      </w:pPr>
    </w:p>
    <w:p>
      <w:pPr>
        <w:ind w:left="4" w:right="120" w:firstLine="987"/>
        <w:spacing w:after="0" w:line="257" w:lineRule="auto"/>
        <w:tabs>
          <w:tab w:leader="none" w:pos="1260" w:val="left"/>
        </w:tabs>
        <w:numPr>
          <w:ilvl w:val="2"/>
          <w:numId w:val="275"/>
        </w:numPr>
        <w:rPr>
          <w:rFonts w:ascii="Arial" w:cs="Arial" w:eastAsia="Arial" w:hAnsi="Arial"/>
          <w:sz w:val="18"/>
          <w:szCs w:val="18"/>
          <w:b w:val="1"/>
          <w:bCs w:val="1"/>
          <w:color w:val="auto"/>
        </w:rPr>
      </w:pPr>
      <w:r>
        <w:rPr>
          <w:rFonts w:ascii="Arial" w:cs="Arial" w:eastAsia="Arial" w:hAnsi="Arial"/>
          <w:sz w:val="18"/>
          <w:szCs w:val="18"/>
          <w:u w:val="single" w:color="auto"/>
          <w:color w:val="auto"/>
        </w:rPr>
        <w:t>Accounting Firm</w:t>
      </w:r>
      <w:r>
        <w:rPr>
          <w:rFonts w:ascii="Arial" w:cs="Arial" w:eastAsia="Arial" w:hAnsi="Arial"/>
          <w:sz w:val="18"/>
          <w:szCs w:val="18"/>
          <w:color w:val="auto"/>
        </w:rPr>
        <w:t>. The accounting firm engaged by the Company for general tax purposes as of the day prior to the Change in Control will perform the calculations set forth in Section 9(a)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348" w:name="page349"/>
    <w:bookmarkEnd w:id="348"/>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64" w:lineRule="exact"/>
        <w:rPr>
          <w:sz w:val="20"/>
          <w:szCs w:val="20"/>
          <w:color w:val="auto"/>
        </w:rPr>
      </w:pPr>
    </w:p>
    <w:p>
      <w:pPr>
        <w:ind w:left="700" w:hanging="264"/>
        <w:spacing w:after="0"/>
        <w:tabs>
          <w:tab w:leader="none" w:pos="7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87"/>
        <w:spacing w:after="0" w:line="269" w:lineRule="auto"/>
        <w:tabs>
          <w:tab w:leader="none" w:pos="1246" w:val="left"/>
        </w:tabs>
        <w:numPr>
          <w:ilvl w:val="1"/>
          <w:numId w:val="276"/>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73" w:lineRule="exact"/>
        <w:rPr>
          <w:rFonts w:ascii="Arial" w:cs="Arial" w:eastAsia="Arial" w:hAnsi="Arial"/>
          <w:sz w:val="17"/>
          <w:szCs w:val="17"/>
          <w:b w:val="1"/>
          <w:bCs w:val="1"/>
          <w:color w:val="auto"/>
        </w:rPr>
      </w:pPr>
    </w:p>
    <w:p>
      <w:pPr>
        <w:ind w:right="100" w:firstLine="987"/>
        <w:spacing w:after="0" w:line="290" w:lineRule="auto"/>
        <w:tabs>
          <w:tab w:leader="none" w:pos="1256" w:val="left"/>
        </w:tabs>
        <w:numPr>
          <w:ilvl w:val="1"/>
          <w:numId w:val="276"/>
        </w:numPr>
        <w:rPr>
          <w:rFonts w:ascii="Arial" w:cs="Arial" w:eastAsia="Arial" w:hAnsi="Arial"/>
          <w:sz w:val="16"/>
          <w:szCs w:val="16"/>
          <w:b w:val="1"/>
          <w:bCs w:val="1"/>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16"/>
          <w:szCs w:val="16"/>
          <w:u w:val="single" w:color="auto"/>
          <w:color w:val="auto"/>
        </w:rPr>
        <w:t>Separation from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49" w:name="page350"/>
    <w:bookmarkEnd w:id="349"/>
    <w:p>
      <w:pPr>
        <w:ind w:left="4" w:right="20" w:firstLine="987"/>
        <w:spacing w:after="0" w:line="291" w:lineRule="auto"/>
        <w:tabs>
          <w:tab w:leader="none" w:pos="1240" w:val="left"/>
        </w:tabs>
        <w:numPr>
          <w:ilvl w:val="2"/>
          <w:numId w:val="277"/>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Employee</w:t>
      </w:r>
      <w:r>
        <w:rPr>
          <w:rFonts w:ascii="Arial" w:cs="Arial" w:eastAsia="Arial" w:hAnsi="Arial"/>
          <w:sz w:val="16"/>
          <w:szCs w:val="16"/>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54" w:lineRule="exact"/>
        <w:rPr>
          <w:rFonts w:ascii="Arial" w:cs="Arial" w:eastAsia="Arial" w:hAnsi="Arial"/>
          <w:sz w:val="16"/>
          <w:szCs w:val="16"/>
          <w:b w:val="1"/>
          <w:bCs w:val="1"/>
          <w:color w:val="auto"/>
        </w:rPr>
      </w:pPr>
    </w:p>
    <w:p>
      <w:pPr>
        <w:jc w:val="both"/>
        <w:ind w:left="4" w:right="40" w:firstLine="436"/>
        <w:spacing w:after="0" w:line="266" w:lineRule="auto"/>
        <w:tabs>
          <w:tab w:leader="none" w:pos="704"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or other taxes or charges which the Company is required to withhold. The Company shall be entitled to rely on an opinion of counsel if any questions as to the amount or requirement of withholding shall arise.</w:t>
      </w:r>
    </w:p>
    <w:p>
      <w:pPr>
        <w:spacing w:after="0" w:line="67" w:lineRule="exact"/>
        <w:rPr>
          <w:rFonts w:ascii="Arial" w:cs="Arial" w:eastAsia="Arial" w:hAnsi="Arial"/>
          <w:sz w:val="18"/>
          <w:szCs w:val="18"/>
          <w:b w:val="1"/>
          <w:bCs w:val="1"/>
          <w:color w:val="auto"/>
        </w:rPr>
      </w:pPr>
    </w:p>
    <w:p>
      <w:pPr>
        <w:ind w:left="704" w:hanging="264"/>
        <w:spacing w:after="0"/>
        <w:tabs>
          <w:tab w:leader="none" w:pos="704"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4" w:lineRule="auto"/>
        <w:tabs>
          <w:tab w:leader="none" w:pos="1250" w:val="left"/>
        </w:tabs>
        <w:numPr>
          <w:ilvl w:val="2"/>
          <w:numId w:val="278"/>
        </w:numPr>
        <w:rPr>
          <w:rFonts w:ascii="Arial" w:cs="Arial" w:eastAsia="Arial" w:hAnsi="Arial"/>
          <w:sz w:val="16"/>
          <w:szCs w:val="16"/>
          <w:b w:val="1"/>
          <w:bCs w:val="1"/>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w:t>
      </w:r>
    </w:p>
    <w:p>
      <w:pPr>
        <w:spacing w:after="0" w:line="4" w:lineRule="exact"/>
        <w:rPr>
          <w:rFonts w:ascii="Arial" w:cs="Arial" w:eastAsia="Arial" w:hAnsi="Arial"/>
          <w:sz w:val="16"/>
          <w:szCs w:val="16"/>
          <w:b w:val="1"/>
          <w:bCs w:val="1"/>
          <w:color w:val="auto"/>
        </w:rPr>
      </w:pPr>
    </w:p>
    <w:p>
      <w:pPr>
        <w:ind w:left="4" w:right="340" w:hanging="4"/>
        <w:spacing w:after="0" w:line="277" w:lineRule="auto"/>
        <w:tabs>
          <w:tab w:leader="none" w:pos="24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64" w:lineRule="exact"/>
        <w:rPr>
          <w:rFonts w:ascii="Arial" w:cs="Arial" w:eastAsia="Arial" w:hAnsi="Arial"/>
          <w:sz w:val="17"/>
          <w:szCs w:val="17"/>
          <w:color w:val="auto"/>
        </w:rPr>
      </w:pPr>
    </w:p>
    <w:p>
      <w:pPr>
        <w:ind w:left="4" w:firstLine="987"/>
        <w:spacing w:after="0" w:line="275" w:lineRule="auto"/>
        <w:tabs>
          <w:tab w:leader="none" w:pos="1260" w:val="left"/>
        </w:tabs>
        <w:numPr>
          <w:ilvl w:val="2"/>
          <w:numId w:val="279"/>
        </w:numPr>
        <w:rPr>
          <w:rFonts w:ascii="Arial" w:cs="Arial" w:eastAsia="Arial" w:hAnsi="Arial"/>
          <w:sz w:val="17"/>
          <w:szCs w:val="17"/>
          <w:b w:val="1"/>
          <w:bCs w:val="1"/>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68" w:lineRule="exact"/>
        <w:rPr>
          <w:rFonts w:ascii="Arial" w:cs="Arial" w:eastAsia="Arial" w:hAnsi="Arial"/>
          <w:sz w:val="17"/>
          <w:szCs w:val="17"/>
          <w:b w:val="1"/>
          <w:bCs w:val="1"/>
          <w:color w:val="auto"/>
        </w:rPr>
      </w:pPr>
    </w:p>
    <w:p>
      <w:pPr>
        <w:ind w:left="4" w:right="180" w:firstLine="987"/>
        <w:spacing w:after="0" w:line="259" w:lineRule="auto"/>
        <w:tabs>
          <w:tab w:leader="none" w:pos="1240" w:val="left"/>
        </w:tabs>
        <w:numPr>
          <w:ilvl w:val="2"/>
          <w:numId w:val="279"/>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350" w:name="page351"/>
    <w:bookmarkEnd w:id="350"/>
    <w:p>
      <w:pPr>
        <w:ind w:left="-40" w:right="900" w:firstLine="987"/>
        <w:spacing w:after="0" w:line="277" w:lineRule="auto"/>
        <w:tabs>
          <w:tab w:leader="none" w:pos="1216" w:val="left"/>
        </w:tabs>
        <w:numPr>
          <w:ilvl w:val="0"/>
          <w:numId w:val="28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2" w:lineRule="exact"/>
        <w:rPr>
          <w:rFonts w:ascii="Arial" w:cs="Arial" w:eastAsia="Arial" w:hAnsi="Arial"/>
          <w:sz w:val="18"/>
          <w:szCs w:val="18"/>
          <w:b w:val="1"/>
          <w:bCs w:val="1"/>
          <w:color w:val="auto"/>
        </w:rPr>
      </w:pPr>
    </w:p>
    <w:p>
      <w:pPr>
        <w:ind w:left="-40" w:right="140" w:firstLine="987"/>
        <w:spacing w:after="0" w:line="273" w:lineRule="auto"/>
        <w:tabs>
          <w:tab w:leader="none" w:pos="1196" w:val="left"/>
        </w:tabs>
        <w:numPr>
          <w:ilvl w:val="0"/>
          <w:numId w:val="280"/>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69" w:lineRule="exact"/>
        <w:rPr>
          <w:rFonts w:ascii="Arial" w:cs="Arial" w:eastAsia="Arial" w:hAnsi="Arial"/>
          <w:sz w:val="17"/>
          <w:szCs w:val="17"/>
          <w:b w:val="1"/>
          <w:bCs w:val="1"/>
          <w:color w:val="auto"/>
        </w:rPr>
      </w:pPr>
    </w:p>
    <w:p>
      <w:pPr>
        <w:ind w:left="-40" w:right="40" w:firstLine="987"/>
        <w:spacing w:after="0" w:line="269" w:lineRule="auto"/>
        <w:tabs>
          <w:tab w:leader="none" w:pos="1176" w:val="left"/>
        </w:tabs>
        <w:numPr>
          <w:ilvl w:val="0"/>
          <w:numId w:val="280"/>
        </w:numPr>
        <w:rPr>
          <w:rFonts w:ascii="Arial" w:cs="Arial" w:eastAsia="Arial" w:hAnsi="Arial"/>
          <w:sz w:val="17"/>
          <w:szCs w:val="17"/>
          <w:b w:val="1"/>
          <w:bCs w:val="1"/>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Executive agrees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mutually selected by the Company and Executive. This means that disputes will be decided by an arbitrator rather than a court or jury, and that both Executive and the Company waive their respective rights to a court or jury trial. Judgment on the arbitration award may be entered in any court having jurisdiction. Nothing herein shall prevent either Party from pursuing injunctive relief in court (without having to post a bond) to avoid irreparable harm pending completion of any arbitration. Within twenty (20) days of the conclusion of the arbitration hearing, the arbitrator shall prepare written findings of fact and conclusions of law. Each party shall bear its own costs and attorneys’ fees in connection with arbitration;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pay all costs unique to arbitration, including the arbitrator’s fees and costs, that Executive would not be required to pay if the claim was in court. Executive shall be entitled to recover reasonable attorneys’ fees and costs incurred by Executive in any arbitration Executive initiates to enforce Executive’s rights under this Agreement and in which Executive is deemed to be the prevailing party.</w:t>
      </w:r>
    </w:p>
    <w:p>
      <w:pPr>
        <w:spacing w:after="0" w:line="73" w:lineRule="exact"/>
        <w:rPr>
          <w:rFonts w:ascii="Arial" w:cs="Arial" w:eastAsia="Arial" w:hAnsi="Arial"/>
          <w:sz w:val="17"/>
          <w:szCs w:val="17"/>
          <w:b w:val="1"/>
          <w:bCs w:val="1"/>
          <w:color w:val="auto"/>
        </w:rPr>
      </w:pPr>
    </w:p>
    <w:p>
      <w:pPr>
        <w:ind w:left="-40" w:right="20" w:firstLine="987"/>
        <w:spacing w:after="0" w:line="255" w:lineRule="auto"/>
        <w:tabs>
          <w:tab w:leader="none" w:pos="1206" w:val="left"/>
        </w:tabs>
        <w:numPr>
          <w:ilvl w:val="0"/>
          <w:numId w:val="280"/>
        </w:numPr>
        <w:rPr>
          <w:rFonts w:ascii="Arial" w:cs="Arial" w:eastAsia="Arial" w:hAnsi="Arial"/>
          <w:sz w:val="18"/>
          <w:szCs w:val="18"/>
          <w:b w:val="1"/>
          <w:bCs w:val="1"/>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4" w:lineRule="exact"/>
        <w:rPr>
          <w:rFonts w:ascii="Arial" w:cs="Arial" w:eastAsia="Arial" w:hAnsi="Arial"/>
          <w:sz w:val="18"/>
          <w:szCs w:val="18"/>
          <w:b w:val="1"/>
          <w:bCs w:val="1"/>
          <w:color w:val="auto"/>
        </w:rPr>
      </w:pPr>
    </w:p>
    <w:p>
      <w:pPr>
        <w:ind w:left="-40" w:firstLine="987"/>
        <w:spacing w:after="0" w:line="301" w:lineRule="auto"/>
        <w:tabs>
          <w:tab w:leader="none" w:pos="1216" w:val="left"/>
        </w:tabs>
        <w:numPr>
          <w:ilvl w:val="0"/>
          <w:numId w:val="280"/>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of this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4" w:right="499" w:bottom="1440" w:gutter="0" w:footer="0" w:header="0"/>
        </w:sectPr>
      </w:pPr>
    </w:p>
    <w:bookmarkStart w:id="351" w:name="page352"/>
    <w:bookmarkEnd w:id="351"/>
    <w:p>
      <w:pPr>
        <w:ind w:left="-160" w:firstLine="987"/>
        <w:spacing w:after="0" w:line="263" w:lineRule="auto"/>
        <w:tabs>
          <w:tab w:leader="none" w:pos="1046" w:val="left"/>
        </w:tabs>
        <w:numPr>
          <w:ilvl w:val="0"/>
          <w:numId w:val="28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Acknowledgement</w:t>
      </w:r>
      <w:r>
        <w:rPr>
          <w:rFonts w:ascii="Arial" w:cs="Arial" w:eastAsia="Arial" w:hAnsi="Arial"/>
          <w:sz w:val="18"/>
          <w:szCs w:val="18"/>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75" w:lineRule="exact"/>
        <w:rPr>
          <w:rFonts w:ascii="Arial" w:cs="Arial" w:eastAsia="Arial" w:hAnsi="Arial"/>
          <w:sz w:val="18"/>
          <w:szCs w:val="18"/>
          <w:b w:val="1"/>
          <w:bCs w:val="1"/>
          <w:color w:val="auto"/>
        </w:rPr>
      </w:pPr>
    </w:p>
    <w:p>
      <w:pPr>
        <w:ind w:left="-160" w:right="260" w:firstLine="987"/>
        <w:spacing w:after="0" w:line="342" w:lineRule="auto"/>
        <w:tabs>
          <w:tab w:leader="none" w:pos="1056" w:val="left"/>
        </w:tabs>
        <w:numPr>
          <w:ilvl w:val="0"/>
          <w:numId w:val="281"/>
        </w:numPr>
        <w:rPr>
          <w:rFonts w:ascii="Arial" w:cs="Arial" w:eastAsia="Arial" w:hAnsi="Arial"/>
          <w:sz w:val="16"/>
          <w:szCs w:val="16"/>
          <w:b w:val="1"/>
          <w:bCs w:val="1"/>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80"/>
          </w:cols>
          <w:pgMar w:left="600" w:top="274" w:right="61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duly executed this Agreement as of the date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TYRA BIOSCIENCES,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Todd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Todd Harris</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Chief Executive Officer and President</w:t>
      </w:r>
    </w:p>
    <w:p>
      <w:pPr>
        <w:spacing w:after="0" w:line="24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Hiroomi Tada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Hiroomi Tada, M.D., Ph.D.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53" w:name="page354"/>
    <w:bookmarkEnd w:id="35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defined terms used in this Appendix I that are not otherwise defined in this Appendix I shall have the meaning ascribed to such terms in the Employment Agreement to which this Appendix I relates.</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Acquiring Company</w:t>
      </w:r>
      <w:r>
        <w:rPr>
          <w:rFonts w:ascii="Arial" w:cs="Arial" w:eastAsia="Arial" w:hAnsi="Arial"/>
          <w:sz w:val="18"/>
          <w:szCs w:val="18"/>
          <w:color w:val="auto"/>
        </w:rPr>
        <w:t>” shall mean the resulting or surviving corporation, or the company issuing cash or securities (or its ultimate parent company), in a merger consolidation, tender offer or share exchange involving the Company, or the successor corporation to the Company (whether in any such transaction or otherwise).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the occurrence of any one or more of the following events or conditions:</w:t>
      </w:r>
    </w:p>
    <w:p>
      <w:pPr>
        <w:spacing w:after="0" w:line="121" w:lineRule="exact"/>
        <w:rPr>
          <w:sz w:val="20"/>
          <w:szCs w:val="20"/>
          <w:color w:val="auto"/>
        </w:rPr>
      </w:pPr>
    </w:p>
    <w:p>
      <w:pPr>
        <w:ind w:right="300" w:firstLine="1428"/>
        <w:spacing w:after="0" w:line="263" w:lineRule="auto"/>
        <w:tabs>
          <w:tab w:leader="none" w:pos="1647"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spacing w:after="0" w:line="75" w:lineRule="exact"/>
        <w:rPr>
          <w:rFonts w:ascii="Arial" w:cs="Arial" w:eastAsia="Arial" w:hAnsi="Arial"/>
          <w:sz w:val="18"/>
          <w:szCs w:val="18"/>
          <w:b w:val="1"/>
          <w:bCs w:val="1"/>
          <w:color w:val="auto"/>
        </w:rPr>
      </w:pPr>
    </w:p>
    <w:p>
      <w:pPr>
        <w:ind w:right="140" w:firstLine="1428"/>
        <w:spacing w:after="0" w:line="277" w:lineRule="auto"/>
        <w:tabs>
          <w:tab w:leader="none" w:pos="1697"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Executive’s dishonesty or other misconduct, if such dishonesty or other misconduct is intended to or likely to materially injure the business or reputation of the Company;</w:t>
      </w:r>
    </w:p>
    <w:p>
      <w:pPr>
        <w:spacing w:after="0" w:line="62" w:lineRule="exact"/>
        <w:rPr>
          <w:rFonts w:ascii="Arial" w:cs="Arial" w:eastAsia="Arial" w:hAnsi="Arial"/>
          <w:sz w:val="18"/>
          <w:szCs w:val="18"/>
          <w:b w:val="1"/>
          <w:bCs w:val="1"/>
          <w:color w:val="auto"/>
        </w:rPr>
      </w:pPr>
    </w:p>
    <w:p>
      <w:pPr>
        <w:ind w:left="1740" w:hanging="312"/>
        <w:spacing w:after="0"/>
        <w:tabs>
          <w:tab w:leader="none" w:pos="1740" w:val="left"/>
        </w:tabs>
        <w:numPr>
          <w:ilvl w:val="0"/>
          <w:numId w:val="282"/>
        </w:numPr>
        <w:rPr>
          <w:rFonts w:ascii="Arial" w:cs="Arial" w:eastAsia="Arial" w:hAnsi="Arial"/>
          <w:sz w:val="17"/>
          <w:szCs w:val="17"/>
          <w:b w:val="1"/>
          <w:bCs w:val="1"/>
          <w:color w:val="auto"/>
        </w:rPr>
      </w:pPr>
      <w:r>
        <w:rPr>
          <w:rFonts w:ascii="Arial" w:cs="Arial" w:eastAsia="Arial" w:hAnsi="Arial"/>
          <w:sz w:val="17"/>
          <w:szCs w:val="17"/>
          <w:color w:val="auto"/>
        </w:rPr>
        <w:t>Executive’s conviction or no contest plea to any misdemeanor involving dishonesty, theft, fraud or moral turpitude, or any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felony.</w:t>
      </w:r>
    </w:p>
    <w:p>
      <w:pPr>
        <w:spacing w:after="0" w:line="102" w:lineRule="exact"/>
        <w:rPr>
          <w:rFonts w:ascii="Arial" w:cs="Arial" w:eastAsia="Arial" w:hAnsi="Arial"/>
          <w:sz w:val="17"/>
          <w:szCs w:val="17"/>
          <w:b w:val="1"/>
          <w:bCs w:val="1"/>
          <w:color w:val="auto"/>
        </w:rPr>
      </w:pPr>
    </w:p>
    <w:p>
      <w:pPr>
        <w:jc w:val="both"/>
        <w:ind w:right="640" w:firstLine="1428"/>
        <w:spacing w:after="0" w:line="342" w:lineRule="auto"/>
        <w:tabs>
          <w:tab w:leader="none" w:pos="1737"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Executive’s insobriety or illegal use of drugs, chemicals or controlled substances either (A) in the course of performing Executive’s duties and responsibilities under this Agreement or (B) otherwise materially affecting the ability of Executive to perform the same;</w:t>
      </w:r>
    </w:p>
    <w:p>
      <w:pPr>
        <w:spacing w:after="0" w:line="15" w:lineRule="exact"/>
        <w:rPr>
          <w:rFonts w:ascii="Arial" w:cs="Arial" w:eastAsia="Arial" w:hAnsi="Arial"/>
          <w:sz w:val="16"/>
          <w:szCs w:val="16"/>
          <w:b w:val="1"/>
          <w:bCs w:val="1"/>
          <w:color w:val="auto"/>
        </w:rPr>
      </w:pPr>
    </w:p>
    <w:p>
      <w:pPr>
        <w:ind w:right="480" w:firstLine="1428"/>
        <w:spacing w:after="0" w:line="277" w:lineRule="auto"/>
        <w:tabs>
          <w:tab w:leader="none" w:pos="1687"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Executive’s material breach of any written agreement with the Company or any of its affiliates or material violation of the Company’s Code of Conduct or any other material written policy of the Company; or</w:t>
      </w:r>
    </w:p>
    <w:p>
      <w:pPr>
        <w:spacing w:after="0" w:line="62" w:lineRule="exact"/>
        <w:rPr>
          <w:rFonts w:ascii="Arial" w:cs="Arial" w:eastAsia="Arial" w:hAnsi="Arial"/>
          <w:sz w:val="18"/>
          <w:szCs w:val="18"/>
          <w:b w:val="1"/>
          <w:bCs w:val="1"/>
          <w:color w:val="auto"/>
        </w:rPr>
      </w:pPr>
    </w:p>
    <w:p>
      <w:pPr>
        <w:ind w:left="1740" w:hanging="312"/>
        <w:spacing w:after="0"/>
        <w:tabs>
          <w:tab w:leader="none" w:pos="174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Any wanton or willful dereliction of duties by Executive.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shall mean the occurrence of any of the following events or circumstances:</w:t>
      </w:r>
    </w:p>
    <w:p>
      <w:pPr>
        <w:spacing w:after="0" w:line="117" w:lineRule="exact"/>
        <w:rPr>
          <w:sz w:val="20"/>
          <w:szCs w:val="20"/>
          <w:color w:val="auto"/>
        </w:rPr>
      </w:pPr>
    </w:p>
    <w:p>
      <w:pPr>
        <w:ind w:firstLine="1428"/>
        <w:spacing w:after="0" w:line="277" w:lineRule="auto"/>
        <w:tabs>
          <w:tab w:leader="none" w:pos="1647" w:val="left"/>
        </w:tabs>
        <w:numPr>
          <w:ilvl w:val="0"/>
          <w:numId w:val="283"/>
        </w:numPr>
        <w:rPr>
          <w:rFonts w:ascii="Arial" w:cs="Arial" w:eastAsia="Arial" w:hAnsi="Arial"/>
          <w:sz w:val="17"/>
          <w:szCs w:val="17"/>
          <w:b w:val="1"/>
          <w:bCs w:val="1"/>
          <w:color w:val="auto"/>
        </w:rPr>
      </w:pPr>
      <w:r>
        <w:rPr>
          <w:rFonts w:ascii="Arial" w:cs="Arial" w:eastAsia="Arial" w:hAnsi="Arial"/>
          <w:sz w:val="17"/>
          <w:szCs w:val="17"/>
          <w:color w:val="auto"/>
        </w:rPr>
        <w:t>any “person” (within the meaning of Section 13(d) or 14(d) of the Securities Exchange Act of 1934, as amended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including a “group” within the meaning of such Section 13(d) but excluding the Company and any of its subsidiaries and any employee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plan sponsored or maintained by the Company or any subsidiary thereof, shall become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w:t>
      </w:r>
      <w:r>
        <w:rPr>
          <w:rFonts w:ascii="Arial" w:cs="Arial" w:eastAsia="Arial" w:hAnsi="Arial"/>
          <w:sz w:val="17"/>
          <w:szCs w:val="17"/>
          <w:b w:val="1"/>
          <w:bCs w:val="1"/>
          <w:color w:val="auto"/>
        </w:rPr>
        <w:t>Company Voting Securities</w:t>
      </w:r>
      <w:r>
        <w:rPr>
          <w:rFonts w:ascii="Arial" w:cs="Arial" w:eastAsia="Arial" w:hAnsi="Arial"/>
          <w:sz w:val="17"/>
          <w:szCs w:val="17"/>
          <w:color w:val="auto"/>
        </w:rPr>
        <w:t>”);</w:t>
      </w:r>
    </w:p>
    <w:p>
      <w:pPr>
        <w:sectPr>
          <w:pgSz w:w="11900" w:h="16838" w:orient="portrait"/>
          <w:cols w:equalWidth="0" w:num="1">
            <w:col w:w="10940"/>
          </w:cols>
          <w:pgMar w:left="440" w:top="270" w:right="519" w:bottom="1440" w:gutter="0" w:footer="0" w:header="0"/>
        </w:sectPr>
      </w:pPr>
    </w:p>
    <w:bookmarkStart w:id="354" w:name="page355"/>
    <w:bookmarkEnd w:id="354"/>
    <w:p>
      <w:pPr>
        <w:ind w:firstLine="1428"/>
        <w:spacing w:after="0" w:line="293" w:lineRule="auto"/>
        <w:tabs>
          <w:tab w:leader="none" w:pos="1697"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 merger or consolidation involving the Company, or the acceptance by the stockholders of the Company of equity securities in a share exchange, where the Persons who were the beneficial owners of the Company Voting Securities outstanding immediately prior to such merger, consolidation or share exchange, do not beneficially own, directly or indirectly, immediately after such merger, consolidation or share exchange, securities representing more than fifty percent (50%) of the combined voting power of the then-outstanding Company Voting Securities or voting securities of the Acquiring Company in such merger, consolidation or share exchange, in substantially the same proportions as their ownership of the Company Voting Securities immediately prior to such merger, consolidation or share exchange;</w:t>
      </w:r>
    </w:p>
    <w:p>
      <w:pPr>
        <w:spacing w:after="0" w:line="56" w:lineRule="exact"/>
        <w:rPr>
          <w:rFonts w:ascii="Arial" w:cs="Arial" w:eastAsia="Arial" w:hAnsi="Arial"/>
          <w:sz w:val="16"/>
          <w:szCs w:val="16"/>
          <w:b w:val="1"/>
          <w:bCs w:val="1"/>
          <w:color w:val="auto"/>
        </w:rPr>
      </w:pPr>
    </w:p>
    <w:p>
      <w:pPr>
        <w:ind w:right="20" w:firstLine="1428"/>
        <w:spacing w:after="0" w:line="275" w:lineRule="auto"/>
        <w:tabs>
          <w:tab w:leader="none" w:pos="1747" w:val="left"/>
        </w:tabs>
        <w:numPr>
          <w:ilvl w:val="0"/>
          <w:numId w:val="284"/>
        </w:numPr>
        <w:rPr>
          <w:rFonts w:ascii="Arial" w:cs="Arial" w:eastAsia="Arial" w:hAnsi="Arial"/>
          <w:sz w:val="17"/>
          <w:szCs w:val="17"/>
          <w:b w:val="1"/>
          <w:bCs w:val="1"/>
          <w:color w:val="auto"/>
        </w:rPr>
      </w:pPr>
      <w:r>
        <w:rPr>
          <w:rFonts w:ascii="Arial" w:cs="Arial" w:eastAsia="Arial" w:hAnsi="Arial"/>
          <w:sz w:val="17"/>
          <w:szCs w:val="17"/>
          <w:color w:val="auto"/>
        </w:rPr>
        <w:t>a sale, exchange or other disposition or transfer (in one transaction or a series of related transactions) of all or substantially all of the assets of the Company; provided, however, that a Change in Control shall not be deemed to have occurred where: (x) the Company sells, exchanges or otherwise disposes or transfers all or substantially all of its assets to another Person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expressly assumes this Agreement; or</w:t>
      </w:r>
    </w:p>
    <w:p>
      <w:pPr>
        <w:spacing w:after="0" w:line="68" w:lineRule="exact"/>
        <w:rPr>
          <w:rFonts w:ascii="Arial" w:cs="Arial" w:eastAsia="Arial" w:hAnsi="Arial"/>
          <w:sz w:val="17"/>
          <w:szCs w:val="17"/>
          <w:b w:val="1"/>
          <w:bCs w:val="1"/>
          <w:color w:val="auto"/>
        </w:rPr>
      </w:pPr>
    </w:p>
    <w:p>
      <w:pPr>
        <w:ind w:right="40" w:firstLine="1428"/>
        <w:spacing w:after="0" w:line="291" w:lineRule="auto"/>
        <w:tabs>
          <w:tab w:leader="none" w:pos="1737"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t>such time as the Continuing Directors (as defined below) do not constitute at least a majority of the Board (or, if applicable, the board of directors of a successor to the Company), where the term “Continuing Director” means at any date a member of the Board who was: (x) a member of the Board on the Effective Date; or (y)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shall be a Continuing Director).</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 Period</w:t>
      </w:r>
      <w:r>
        <w:rPr>
          <w:rFonts w:ascii="Arial" w:cs="Arial" w:eastAsia="Arial" w:hAnsi="Arial"/>
          <w:sz w:val="18"/>
          <w:szCs w:val="18"/>
          <w:color w:val="auto"/>
        </w:rPr>
        <w:t>” shall mean the period commencing three (3) months prior to a Change in Control and ending on the eighteen (18)-month anniversary of the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permanent and total disability within the meaning of Section 22(e) of the Code.</w:t>
      </w:r>
    </w:p>
    <w:p>
      <w:pPr>
        <w:spacing w:after="0" w:line="22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Good Reason</w:t>
      </w:r>
      <w:r>
        <w:rPr>
          <w:rFonts w:ascii="Arial" w:cs="Arial" w:eastAsia="Arial" w:hAnsi="Arial"/>
          <w:sz w:val="17"/>
          <w:szCs w:val="17"/>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your Annual Base Salary); (ii) a material reduction of Executive’s duties and responsibilities from those in effect on the Effective Date; (iii) the Company’s material breach of this Agreement (other than a reduction of your Annual Base Salary as part of a reduction in the base salaries of all or substantially all other similarly situated employees of the Company that is in the same proportion as the reduction in your Annual Base Salary); or (iv) the permanent, non-voluntary relocation of Executive’s principal place of employment that increases Executive’s</w:t>
      </w:r>
    </w:p>
    <w:p>
      <w:pPr>
        <w:sectPr>
          <w:pgSz w:w="11900" w:h="16838" w:orient="portrait"/>
          <w:cols w:equalWidth="0" w:num="1">
            <w:col w:w="11020"/>
          </w:cols>
          <w:pgMar w:left="440" w:top="274" w:right="439" w:bottom="1440" w:gutter="0" w:footer="0" w:header="0"/>
        </w:sectPr>
      </w:pPr>
    </w:p>
    <w:bookmarkStart w:id="355" w:name="page356"/>
    <w:bookmarkEnd w:id="35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one-way commute by more than thirty-five (35) miles, provided, that, in each case, Executive will not be deemed to have Good Reason unless (A)Executive first provides the Board with written notice of the condition giving rise to Good Reason within thirty (30)days of its initial occurrence, (B)the Company or the successor company fails to cure such condition within ten (10)days after receiving such written notice (the “Cure Period”), and (C)Executive’s resignation based on such Good Reason is effective within thirty (30)days after the expiration of the Cure Period.</w:t>
      </w:r>
    </w:p>
    <w:p>
      <w:pPr>
        <w:spacing w:after="0" w:line="16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Involuntary Termination</w:t>
      </w:r>
      <w:r>
        <w:rPr>
          <w:rFonts w:ascii="Arial" w:cs="Arial" w:eastAsia="Arial" w:hAnsi="Arial"/>
          <w:sz w:val="18"/>
          <w:szCs w:val="18"/>
          <w:color w:val="auto"/>
        </w:rPr>
        <w:t>” shall mean Executive’s termination (A) by the Company without Cause, (B) by Executive for Good Reason, (C) due to death or (D) due to Disability.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any individual, corporation, limited liability corporation, partnership, or other business entity.</w:t>
      </w:r>
    </w:p>
    <w:p>
      <w:pPr>
        <w:sectPr>
          <w:pgSz w:w="11900" w:h="16838" w:orient="portrait"/>
          <w:cols w:equalWidth="0" w:num="1">
            <w:col w:w="10840"/>
          </w:cols>
          <w:pgMar w:left="440" w:top="274" w:right="61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i w:val="1"/>
          <w:iCs w:val="1"/>
          <w:color w:val="auto"/>
        </w:rPr>
        <w:t>Exhibit 10.10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680" w:firstLine="440"/>
        <w:spacing w:after="0" w:line="286" w:lineRule="auto"/>
        <w:rPr>
          <w:sz w:val="20"/>
          <w:szCs w:val="20"/>
          <w:color w:val="auto"/>
        </w:rPr>
      </w:pPr>
      <w:r>
        <w:rPr>
          <w:rFonts w:ascii="Arial" w:cs="Arial" w:eastAsia="Arial" w:hAnsi="Arial"/>
          <w:sz w:val="17"/>
          <w:szCs w:val="17"/>
          <w:color w:val="auto"/>
        </w:rPr>
        <w:t>This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this 1</w:t>
      </w:r>
      <w:r>
        <w:rPr>
          <w:rFonts w:ascii="Arial" w:cs="Arial" w:eastAsia="Arial" w:hAnsi="Arial"/>
          <w:sz w:val="14"/>
          <w:szCs w:val="14"/>
          <w:color w:val="auto"/>
        </w:rPr>
        <w:t>st</w:t>
      </w:r>
      <w:r>
        <w:rPr>
          <w:rFonts w:ascii="Arial" w:cs="Arial" w:eastAsia="Arial" w:hAnsi="Arial"/>
          <w:sz w:val="17"/>
          <w:szCs w:val="17"/>
          <w:color w:val="auto"/>
        </w:rPr>
        <w:t xml:space="preserve"> day of January, 2021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Tyra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Robert Hudkins (“</w:t>
      </w:r>
      <w:r>
        <w:rPr>
          <w:rFonts w:ascii="Arial" w:cs="Arial" w:eastAsia="Arial" w:hAnsi="Arial"/>
          <w:sz w:val="17"/>
          <w:szCs w:val="17"/>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Capitalized terms used herein and not otherwise defined shall have those meanings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 xml:space="preserve"> hereto.</w:t>
      </w:r>
    </w:p>
    <w:p>
      <w:pPr>
        <w:spacing w:after="0" w:line="16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retain the services of Executive by engaging Executive to perform services as an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hereof;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desires to provide services to the Company on the terms hereof.</w:t>
      </w:r>
    </w:p>
    <w:p>
      <w:pPr>
        <w:spacing w:after="0" w:line="225"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32" w:lineRule="exact"/>
        <w:rPr>
          <w:sz w:val="20"/>
          <w:szCs w:val="20"/>
          <w:color w:val="auto"/>
        </w:rPr>
      </w:pPr>
    </w:p>
    <w:p>
      <w:pPr>
        <w:ind w:left="620" w:hanging="184"/>
        <w:spacing w:after="0"/>
        <w:tabs>
          <w:tab w:leader="none" w:pos="62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285"/>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employ Executive upon the terms and conditions provided herein effective as of the Effective Date.</w:t>
      </w:r>
    </w:p>
    <w:p>
      <w:pPr>
        <w:spacing w:after="0" w:line="128" w:lineRule="exact"/>
        <w:rPr>
          <w:rFonts w:ascii="Arial" w:cs="Arial" w:eastAsia="Arial" w:hAnsi="Arial"/>
          <w:sz w:val="17"/>
          <w:szCs w:val="17"/>
          <w:b w:val="1"/>
          <w:bCs w:val="1"/>
          <w:color w:val="auto"/>
        </w:rPr>
      </w:pPr>
    </w:p>
    <w:p>
      <w:pPr>
        <w:ind w:right="240" w:firstLine="987"/>
        <w:spacing w:after="0" w:line="255" w:lineRule="auto"/>
        <w:tabs>
          <w:tab w:leader="none" w:pos="1256" w:val="left"/>
        </w:tabs>
        <w:numPr>
          <w:ilvl w:val="1"/>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on the Effective Date, Executive shall serve as the Company’s Chief Technology Officer, with responsibilities, duties, and authority usual and customary for such position subject to direction by the Chief Operating Officer (the “</w:t>
      </w:r>
      <w:r>
        <w:rPr>
          <w:rFonts w:ascii="Arial" w:cs="Arial" w:eastAsia="Arial" w:hAnsi="Arial"/>
          <w:sz w:val="18"/>
          <w:szCs w:val="18"/>
          <w:u w:val="single" w:color="auto"/>
          <w:color w:val="auto"/>
        </w:rPr>
        <w:t>COO</w:t>
      </w:r>
      <w:r>
        <w:rPr>
          <w:rFonts w:ascii="Arial" w:cs="Arial" w:eastAsia="Arial" w:hAnsi="Arial"/>
          <w:sz w:val="18"/>
          <w:szCs w:val="18"/>
          <w:color w:val="auto"/>
        </w:rPr>
        <w:t>”). During Executive’s employment with the Company, Executive shall report directly to the COO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84" w:lineRule="exact"/>
        <w:rPr>
          <w:rFonts w:ascii="Arial" w:cs="Arial" w:eastAsia="Arial" w:hAnsi="Arial"/>
          <w:sz w:val="18"/>
          <w:szCs w:val="18"/>
          <w:b w:val="1"/>
          <w:bCs w:val="1"/>
          <w:color w:val="auto"/>
        </w:rPr>
      </w:pPr>
    </w:p>
    <w:p>
      <w:pPr>
        <w:ind w:right="80" w:firstLine="987"/>
        <w:spacing w:after="0" w:line="254" w:lineRule="auto"/>
        <w:tabs>
          <w:tab w:leader="none" w:pos="1236" w:val="left"/>
        </w:tabs>
        <w:numPr>
          <w:ilvl w:val="1"/>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Executive’s Duties</w:t>
      </w:r>
      <w:r>
        <w:rPr>
          <w:rFonts w:ascii="Arial" w:cs="Arial" w:eastAsia="Arial" w:hAnsi="Arial"/>
          <w:sz w:val="18"/>
          <w:szCs w:val="18"/>
          <w:color w:val="auto"/>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COO; provided that nothing herein shall preclude Executive from, subject to prior consent of the COO: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 do not individually or in the aggregate interfere with the performance of Executive’s duties under this Agreement, violate the Company’s standards of conduct then in effect or raise a conflict under the Company’s conflict of interest policies.</w:t>
      </w:r>
    </w:p>
    <w:p>
      <w:pPr>
        <w:sectPr>
          <w:pgSz w:w="11900" w:h="16838" w:orient="portrait"/>
          <w:cols w:equalWidth="0" w:num="1">
            <w:col w:w="11020"/>
          </w:cols>
          <w:pgMar w:left="440" w:top="125" w:right="439" w:bottom="1440" w:gutter="0" w:footer="0" w:header="0"/>
        </w:sectPr>
      </w:pPr>
    </w:p>
    <w:bookmarkStart w:id="357" w:name="page358"/>
    <w:bookmarkEnd w:id="357"/>
    <w:p>
      <w:pPr>
        <w:ind w:left="-20" w:right="60" w:firstLine="436"/>
        <w:spacing w:after="0" w:line="266" w:lineRule="auto"/>
        <w:tabs>
          <w:tab w:leader="none" w:pos="60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r>
        <w:rPr>
          <w:rFonts w:ascii="Arial" w:cs="Arial" w:eastAsia="Arial" w:hAnsi="Arial"/>
          <w:sz w:val="18"/>
          <w:szCs w:val="18"/>
          <w:color w:val="auto"/>
        </w:rPr>
        <w:t>. The period of Executive’s employment under this Agreement shall commence on the Effective Date and shall continue until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The phrase “</w:t>
      </w:r>
      <w:r>
        <w:rPr>
          <w:rFonts w:ascii="Arial" w:cs="Arial" w:eastAsia="Arial" w:hAnsi="Arial"/>
          <w:sz w:val="18"/>
          <w:szCs w:val="18"/>
          <w:u w:val="single" w:color="auto"/>
          <w:color w:val="auto"/>
        </w:rPr>
        <w:t>Term of Employment</w:t>
      </w:r>
      <w:r>
        <w:rPr>
          <w:rFonts w:ascii="Arial" w:cs="Arial" w:eastAsia="Arial" w:hAnsi="Arial"/>
          <w:sz w:val="18"/>
          <w:szCs w:val="18"/>
          <w:color w:val="auto"/>
        </w:rPr>
        <w:t>” as used in this Agreement shall refer to the entire period of employment of Executive by the Company.</w:t>
      </w:r>
    </w:p>
    <w:p>
      <w:pPr>
        <w:spacing w:after="0" w:line="67" w:lineRule="exact"/>
        <w:rPr>
          <w:rFonts w:ascii="Arial" w:cs="Arial" w:eastAsia="Arial" w:hAnsi="Arial"/>
          <w:sz w:val="18"/>
          <w:szCs w:val="18"/>
          <w:b w:val="1"/>
          <w:bCs w:val="1"/>
          <w:color w:val="auto"/>
        </w:rPr>
      </w:pPr>
    </w:p>
    <w:p>
      <w:pPr>
        <w:ind w:left="600" w:hanging="184"/>
        <w:spacing w:after="0"/>
        <w:tabs>
          <w:tab w:leader="none" w:pos="60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987"/>
        <w:spacing w:after="0" w:line="279" w:lineRule="auto"/>
        <w:tabs>
          <w:tab w:leader="none" w:pos="1226" w:val="left"/>
        </w:tabs>
        <w:numPr>
          <w:ilvl w:val="1"/>
          <w:numId w:val="286"/>
        </w:numPr>
        <w:rPr>
          <w:rFonts w:ascii="Arial" w:cs="Arial" w:eastAsia="Arial" w:hAnsi="Arial"/>
          <w:sz w:val="17"/>
          <w:szCs w:val="17"/>
          <w:b w:val="1"/>
          <w:bCs w:val="1"/>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Executive shall receive a base salary at the rate of $300,000 per annum (as may be increased from time to time,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 subject to withholdings and deductions, which shall be paid to Executive in accordance with the customary payroll practices and procedures of the Company. Such Annual Base Salary shall be reviewed by the COO, and as applicable,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not less than annually, and may be increased, but not decreased, in connection with any such review.</w:t>
      </w:r>
    </w:p>
    <w:p>
      <w:pPr>
        <w:spacing w:after="0" w:line="63" w:lineRule="exact"/>
        <w:rPr>
          <w:rFonts w:ascii="Arial" w:cs="Arial" w:eastAsia="Arial" w:hAnsi="Arial"/>
          <w:sz w:val="17"/>
          <w:szCs w:val="17"/>
          <w:b w:val="1"/>
          <w:bCs w:val="1"/>
          <w:color w:val="auto"/>
        </w:rPr>
      </w:pPr>
    </w:p>
    <w:p>
      <w:pPr>
        <w:jc w:val="both"/>
        <w:ind w:left="-20" w:right="100" w:firstLine="987"/>
        <w:spacing w:after="0" w:line="259" w:lineRule="auto"/>
        <w:tabs>
          <w:tab w:leader="none" w:pos="1236" w:val="left"/>
        </w:tabs>
        <w:numPr>
          <w:ilvl w:val="1"/>
          <w:numId w:val="286"/>
        </w:numPr>
        <w:rPr>
          <w:rFonts w:ascii="Arial" w:cs="Arial" w:eastAsia="Arial" w:hAnsi="Arial"/>
          <w:sz w:val="18"/>
          <w:szCs w:val="18"/>
          <w:b w:val="1"/>
          <w:bCs w:val="1"/>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Executive shall be eligible to receive a discretionary annual bonus based on Executive’s achievement of performance objectives as mutually agreed between Executive and the COO, such bonus target to be equal to 30% of Executive’s Annual Base Salary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Any Annual Bonus earned will be paid at the same time annual bonuses are paid to other executives of the Company generally, subject to any limitations on payment as set forth in Section 6.</w:t>
      </w:r>
    </w:p>
    <w:p>
      <w:pPr>
        <w:spacing w:after="0" w:line="78" w:lineRule="exact"/>
        <w:rPr>
          <w:rFonts w:ascii="Arial" w:cs="Arial" w:eastAsia="Arial" w:hAnsi="Arial"/>
          <w:sz w:val="18"/>
          <w:szCs w:val="18"/>
          <w:b w:val="1"/>
          <w:bCs w:val="1"/>
          <w:color w:val="auto"/>
        </w:rPr>
      </w:pPr>
    </w:p>
    <w:p>
      <w:pPr>
        <w:ind w:left="-20" w:right="160" w:firstLine="987"/>
        <w:spacing w:after="0" w:line="286" w:lineRule="auto"/>
        <w:tabs>
          <w:tab w:leader="none" w:pos="1216" w:val="left"/>
        </w:tabs>
        <w:numPr>
          <w:ilvl w:val="1"/>
          <w:numId w:val="286"/>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57" w:lineRule="exact"/>
        <w:rPr>
          <w:rFonts w:ascii="Arial" w:cs="Arial" w:eastAsia="Arial" w:hAnsi="Arial"/>
          <w:sz w:val="17"/>
          <w:szCs w:val="17"/>
          <w:b w:val="1"/>
          <w:bCs w:val="1"/>
          <w:color w:val="auto"/>
        </w:rPr>
      </w:pPr>
    </w:p>
    <w:p>
      <w:pPr>
        <w:ind w:left="-20" w:right="180" w:firstLine="987"/>
        <w:spacing w:after="0" w:line="259" w:lineRule="auto"/>
        <w:tabs>
          <w:tab w:leader="none" w:pos="1236" w:val="left"/>
        </w:tabs>
        <w:numPr>
          <w:ilvl w:val="1"/>
          <w:numId w:val="286"/>
        </w:numPr>
        <w:rPr>
          <w:rFonts w:ascii="Arial" w:cs="Arial" w:eastAsia="Arial" w:hAnsi="Arial"/>
          <w:sz w:val="18"/>
          <w:szCs w:val="18"/>
          <w:b w:val="1"/>
          <w:bCs w:val="1"/>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The Company will also cover the expense of travel, room and board when working from Company headquarters in Carlsbad, CA.</w:t>
      </w:r>
    </w:p>
    <w:p>
      <w:pPr>
        <w:spacing w:after="0" w:line="78" w:lineRule="exact"/>
        <w:rPr>
          <w:rFonts w:ascii="Arial" w:cs="Arial" w:eastAsia="Arial" w:hAnsi="Arial"/>
          <w:sz w:val="18"/>
          <w:szCs w:val="18"/>
          <w:b w:val="1"/>
          <w:bCs w:val="1"/>
          <w:color w:val="auto"/>
        </w:rPr>
      </w:pPr>
    </w:p>
    <w:p>
      <w:pPr>
        <w:ind w:left="1220" w:hanging="253"/>
        <w:spacing w:after="0"/>
        <w:tabs>
          <w:tab w:leader="none" w:pos="1220" w:val="left"/>
        </w:tabs>
        <w:numPr>
          <w:ilvl w:val="1"/>
          <w:numId w:val="286"/>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vacation, which may be taken in accordance with the Company’s vacation policy.</w:t>
      </w:r>
    </w:p>
    <w:p>
      <w:pPr>
        <w:spacing w:after="0" w:line="117" w:lineRule="exact"/>
        <w:rPr>
          <w:rFonts w:ascii="Arial" w:cs="Arial" w:eastAsia="Arial" w:hAnsi="Arial"/>
          <w:sz w:val="18"/>
          <w:szCs w:val="18"/>
          <w:b w:val="1"/>
          <w:bCs w:val="1"/>
          <w:color w:val="auto"/>
        </w:rPr>
      </w:pPr>
    </w:p>
    <w:p>
      <w:pPr>
        <w:ind w:left="1200" w:hanging="233"/>
        <w:spacing w:after="0"/>
        <w:tabs>
          <w:tab w:leader="none" w:pos="1200" w:val="left"/>
        </w:tabs>
        <w:numPr>
          <w:ilvl w:val="1"/>
          <w:numId w:val="286"/>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shall be eligible to receive grants of equity awards in the Company’s sole discretion.</w:t>
      </w:r>
    </w:p>
    <w:p>
      <w:pPr>
        <w:spacing w:after="0" w:line="117" w:lineRule="exact"/>
        <w:rPr>
          <w:rFonts w:ascii="Arial" w:cs="Arial" w:eastAsia="Arial" w:hAnsi="Arial"/>
          <w:sz w:val="18"/>
          <w:szCs w:val="18"/>
          <w:b w:val="1"/>
          <w:bCs w:val="1"/>
          <w:color w:val="auto"/>
        </w:rPr>
      </w:pPr>
    </w:p>
    <w:p>
      <w:pPr>
        <w:jc w:val="both"/>
        <w:ind w:left="-20" w:right="40" w:firstLine="987"/>
        <w:spacing w:after="0" w:line="263" w:lineRule="auto"/>
        <w:tabs>
          <w:tab w:leader="none" w:pos="1226" w:val="left"/>
        </w:tabs>
        <w:numPr>
          <w:ilvl w:val="1"/>
          <w:numId w:val="286"/>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Agreement; Insurance</w:t>
      </w:r>
      <w:r>
        <w:rPr>
          <w:rFonts w:ascii="Arial" w:cs="Arial" w:eastAsia="Arial" w:hAnsi="Arial"/>
          <w:sz w:val="18"/>
          <w:szCs w:val="18"/>
          <w:color w:val="auto"/>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0" w:right="479" w:bottom="1440" w:gutter="0" w:footer="0" w:header="0"/>
        </w:sectPr>
      </w:pPr>
    </w:p>
    <w:bookmarkStart w:id="358" w:name="page359"/>
    <w:bookmarkEnd w:id="358"/>
    <w:p>
      <w:pPr>
        <w:ind w:left="4" w:right="40" w:firstLine="436"/>
        <w:spacing w:after="0" w:line="270" w:lineRule="auto"/>
        <w:tabs>
          <w:tab w:leader="none" w:pos="624" w:val="left"/>
        </w:tabs>
        <w:numPr>
          <w:ilvl w:val="1"/>
          <w:numId w:val="2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Acceleration of Equity Awards Upon a Change in Control</w:t>
      </w:r>
      <w:r>
        <w:rPr>
          <w:rFonts w:ascii="Arial" w:cs="Arial" w:eastAsia="Arial" w:hAnsi="Arial"/>
          <w:sz w:val="17"/>
          <w:szCs w:val="17"/>
          <w:color w:val="auto"/>
        </w:rPr>
        <w:t>. Notwithstanding anything herein to the contrary, in the event of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vesting of Executive’s then outstanding options, restricted stock and other equity awards covering shares of the Company’s common stock (collectively, “</w:t>
      </w:r>
      <w:r>
        <w:rPr>
          <w:rFonts w:ascii="Arial" w:cs="Arial" w:eastAsia="Arial" w:hAnsi="Arial"/>
          <w:sz w:val="17"/>
          <w:szCs w:val="17"/>
          <w:u w:val="single" w:color="auto"/>
          <w:color w:val="auto"/>
        </w:rPr>
        <w:t>Equity Awards</w:t>
      </w:r>
      <w:r>
        <w:rPr>
          <w:rFonts w:ascii="Arial" w:cs="Arial" w:eastAsia="Arial" w:hAnsi="Arial"/>
          <w:sz w:val="17"/>
          <w:szCs w:val="17"/>
          <w:color w:val="auto"/>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68" w:lineRule="exact"/>
        <w:rPr>
          <w:rFonts w:ascii="Arial" w:cs="Arial" w:eastAsia="Arial" w:hAnsi="Arial"/>
          <w:sz w:val="17"/>
          <w:szCs w:val="17"/>
          <w:b w:val="1"/>
          <w:bCs w:val="1"/>
          <w:color w:val="auto"/>
        </w:rPr>
      </w:pPr>
    </w:p>
    <w:p>
      <w:pPr>
        <w:ind w:left="624" w:hanging="184"/>
        <w:spacing w:after="0"/>
        <w:tabs>
          <w:tab w:leader="none" w:pos="624"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290" w:lineRule="auto"/>
        <w:tabs>
          <w:tab w:leader="none" w:pos="1250" w:val="left"/>
        </w:tabs>
        <w:numPr>
          <w:ilvl w:val="2"/>
          <w:numId w:val="287"/>
        </w:numPr>
        <w:rPr>
          <w:rFonts w:ascii="Arial" w:cs="Arial" w:eastAsia="Arial" w:hAnsi="Arial"/>
          <w:sz w:val="16"/>
          <w:szCs w:val="16"/>
          <w:b w:val="1"/>
          <w:bCs w:val="1"/>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COO. If Executive’s employment terminates for any lawful reason, Executive shall not be entitled to any payments, benefits, Equity Awards or other compensation other than as provided in this Agreement.</w:t>
      </w:r>
    </w:p>
    <w:p>
      <w:pPr>
        <w:spacing w:after="0" w:line="57" w:lineRule="exact"/>
        <w:rPr>
          <w:rFonts w:ascii="Arial" w:cs="Arial" w:eastAsia="Arial" w:hAnsi="Arial"/>
          <w:sz w:val="16"/>
          <w:szCs w:val="16"/>
          <w:b w:val="1"/>
          <w:bCs w:val="1"/>
          <w:color w:val="auto"/>
        </w:rPr>
      </w:pPr>
    </w:p>
    <w:p>
      <w:pPr>
        <w:ind w:left="4" w:right="20" w:firstLine="987"/>
        <w:spacing w:after="0" w:line="291" w:lineRule="auto"/>
        <w:tabs>
          <w:tab w:leader="none" w:pos="1260" w:val="left"/>
        </w:tabs>
        <w:numPr>
          <w:ilvl w:val="2"/>
          <w:numId w:val="287"/>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During the Term of Employment, any termination of Executive’s employment by the Company or by Executive (other than by reason of death) shall be communicated by written notice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from one Party hereto to the other Party hereto</w:t>
      </w:r>
    </w:p>
    <w:p>
      <w:pPr>
        <w:ind w:left="4" w:hanging="4"/>
        <w:spacing w:after="0" w:line="269" w:lineRule="auto"/>
        <w:tabs>
          <w:tab w:leader="none" w:pos="219"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72" w:lineRule="exact"/>
        <w:rPr>
          <w:rFonts w:ascii="Arial" w:cs="Arial" w:eastAsia="Arial" w:hAnsi="Arial"/>
          <w:sz w:val="17"/>
          <w:szCs w:val="17"/>
          <w:color w:val="auto"/>
        </w:rPr>
      </w:pPr>
    </w:p>
    <w:p>
      <w:pPr>
        <w:ind w:left="4" w:right="220" w:firstLine="987"/>
        <w:spacing w:after="0" w:line="263" w:lineRule="auto"/>
        <w:tabs>
          <w:tab w:leader="none" w:pos="1240" w:val="left"/>
        </w:tabs>
        <w:numPr>
          <w:ilvl w:val="2"/>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Deemed Resignation</w:t>
      </w:r>
      <w:r>
        <w:rPr>
          <w:rFonts w:ascii="Arial" w:cs="Arial" w:eastAsia="Arial" w:hAnsi="Arial"/>
          <w:sz w:val="18"/>
          <w:szCs w:val="18"/>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59" w:name="page360"/>
    <w:bookmarkEnd w:id="359"/>
    <w:p>
      <w:pPr>
        <w:ind w:left="624" w:hanging="184"/>
        <w:spacing w:after="0"/>
        <w:tabs>
          <w:tab w:leader="none" w:pos="624"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60" w:firstLine="987"/>
        <w:spacing w:after="0" w:line="311" w:lineRule="auto"/>
        <w:tabs>
          <w:tab w:leader="none" w:pos="1250" w:val="left"/>
        </w:tabs>
        <w:numPr>
          <w:ilvl w:val="2"/>
          <w:numId w:val="289"/>
        </w:numPr>
        <w:rPr>
          <w:rFonts w:ascii="Arial" w:cs="Arial" w:eastAsia="Arial" w:hAnsi="Arial"/>
          <w:sz w:val="16"/>
          <w:szCs w:val="16"/>
          <w:b w:val="1"/>
          <w:bCs w:val="1"/>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the event Executive’s employment with the Company terminates pursuant to Section 5, then Executive shall be entitled to the applicable payments and benefits set forth below subject to Executive delivering to the Company a waiver and release of claims agreement in standard reasonable form approved by the Company that becomes effective and irrevocable in accordance with Section 7 hereof (a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40" w:lineRule="exact"/>
        <w:rPr>
          <w:rFonts w:ascii="Arial" w:cs="Arial" w:eastAsia="Arial" w:hAnsi="Arial"/>
          <w:sz w:val="16"/>
          <w:szCs w:val="16"/>
          <w:b w:val="1"/>
          <w:bCs w:val="1"/>
          <w:color w:val="auto"/>
        </w:rPr>
      </w:pPr>
    </w:p>
    <w:p>
      <w:pPr>
        <w:ind w:left="4" w:right="40" w:firstLine="987"/>
        <w:spacing w:after="0" w:line="285" w:lineRule="auto"/>
        <w:tabs>
          <w:tab w:leader="none" w:pos="1260" w:val="left"/>
        </w:tabs>
        <w:numPr>
          <w:ilvl w:val="2"/>
          <w:numId w:val="289"/>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Payments upon Termination by the Company for Cause or by Executive Without Good Reason</w:t>
      </w:r>
      <w:r>
        <w:rPr>
          <w:rFonts w:ascii="Arial" w:cs="Arial" w:eastAsia="Arial" w:hAnsi="Arial"/>
          <w:sz w:val="16"/>
          <w:szCs w:val="16"/>
          <w:color w:val="auto"/>
        </w:rPr>
        <w:t>. Upon a termination of Executive’s employment with the Company at any time for Cause, Executive (or Executive’s estate or legal representative, as applicable) shall be entitled to receive, within thirty (30) days of the effective date of termination of employment with the Company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3(e) above; and</w:t>
      </w:r>
    </w:p>
    <w:p>
      <w:pPr>
        <w:spacing w:after="0" w:line="1" w:lineRule="exact"/>
        <w:rPr>
          <w:rFonts w:ascii="Arial" w:cs="Arial" w:eastAsia="Arial" w:hAnsi="Arial"/>
          <w:sz w:val="16"/>
          <w:szCs w:val="16"/>
          <w:b w:val="1"/>
          <w:bCs w:val="1"/>
          <w:color w:val="auto"/>
        </w:rPr>
      </w:pPr>
    </w:p>
    <w:p>
      <w:pPr>
        <w:ind w:left="4" w:right="40" w:hanging="4"/>
        <w:spacing w:after="0" w:line="252" w:lineRule="auto"/>
        <w:tabs>
          <w:tab w:leader="none" w:pos="31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accrued but unused paid time-off owed to Executive ((i)-(iii) defined as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 Any termination of employment by Executive without Good Reason shall be deemed, and shall be treated as, a termination for “Cause”, and accordingly, the Company shall only be obligated to pay to Executive the amounts described in this Section 6(b).</w:t>
      </w:r>
    </w:p>
    <w:p>
      <w:pPr>
        <w:spacing w:after="0" w:line="85" w:lineRule="exact"/>
        <w:rPr>
          <w:rFonts w:ascii="Arial" w:cs="Arial" w:eastAsia="Arial" w:hAnsi="Arial"/>
          <w:sz w:val="18"/>
          <w:szCs w:val="18"/>
          <w:color w:val="auto"/>
        </w:rPr>
      </w:pPr>
    </w:p>
    <w:p>
      <w:pPr>
        <w:ind w:left="4" w:right="580" w:firstLine="987"/>
        <w:spacing w:after="0" w:line="342" w:lineRule="auto"/>
        <w:tabs>
          <w:tab w:leader="none" w:pos="1240" w:val="left"/>
        </w:tabs>
        <w:numPr>
          <w:ilvl w:val="2"/>
          <w:numId w:val="290"/>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Outside a Change in Control Period</w:t>
      </w:r>
      <w:r>
        <w:rPr>
          <w:rFonts w:ascii="Arial" w:cs="Arial" w:eastAsia="Arial" w:hAnsi="Arial"/>
          <w:sz w:val="16"/>
          <w:szCs w:val="16"/>
          <w:color w:val="auto"/>
        </w:rPr>
        <w:t>. If, outside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4" w:hanging="212"/>
        <w:spacing w:after="0"/>
        <w:tabs>
          <w:tab w:leader="none" w:pos="1644" w:val="left"/>
        </w:tabs>
        <w:numPr>
          <w:ilvl w:val="3"/>
          <w:numId w:val="290"/>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4" w:right="360" w:firstLine="1428"/>
        <w:spacing w:after="0" w:line="277" w:lineRule="auto"/>
        <w:tabs>
          <w:tab w:leader="none" w:pos="1701" w:val="left"/>
        </w:tabs>
        <w:numPr>
          <w:ilvl w:val="3"/>
          <w:numId w:val="290"/>
        </w:numPr>
        <w:rPr>
          <w:rFonts w:ascii="Arial" w:cs="Arial" w:eastAsia="Arial" w:hAnsi="Arial"/>
          <w:sz w:val="18"/>
          <w:szCs w:val="18"/>
          <w:b w:val="1"/>
          <w:bCs w:val="1"/>
          <w:color w:val="auto"/>
        </w:rPr>
      </w:pPr>
      <w:r>
        <w:rPr>
          <w:rFonts w:ascii="Arial" w:cs="Arial" w:eastAsia="Arial" w:hAnsi="Arial"/>
          <w:sz w:val="18"/>
          <w:szCs w:val="18"/>
          <w:color w:val="auto"/>
        </w:rPr>
        <w:t>an amount in cash equal to (A) twelve months of Executive’s Annual Base Salary plus (B) Executive’s target Annual Bonus, pro-rated based on the total number of days elapsed in the calendar year as of Executive’s Date of Termination;</w:t>
      </w:r>
    </w:p>
    <w:p>
      <w:pPr>
        <w:spacing w:after="0" w:line="62" w:lineRule="exact"/>
        <w:rPr>
          <w:rFonts w:ascii="Arial" w:cs="Arial" w:eastAsia="Arial" w:hAnsi="Arial"/>
          <w:sz w:val="18"/>
          <w:szCs w:val="18"/>
          <w:b w:val="1"/>
          <w:bCs w:val="1"/>
          <w:color w:val="auto"/>
        </w:rPr>
      </w:pPr>
    </w:p>
    <w:p>
      <w:pPr>
        <w:jc w:val="both"/>
        <w:ind w:left="4" w:firstLine="1428"/>
        <w:spacing w:after="0" w:line="263" w:lineRule="auto"/>
        <w:tabs>
          <w:tab w:leader="none" w:pos="1751" w:val="left"/>
        </w:tabs>
        <w:numPr>
          <w:ilvl w:val="3"/>
          <w:numId w:val="290"/>
        </w:numPr>
        <w:rPr>
          <w:rFonts w:ascii="Arial" w:cs="Arial" w:eastAsia="Arial" w:hAnsi="Arial"/>
          <w:sz w:val="18"/>
          <w:szCs w:val="18"/>
          <w:b w:val="1"/>
          <w:bCs w:val="1"/>
          <w:color w:val="auto"/>
        </w:rPr>
      </w:pPr>
      <w:r>
        <w:rPr>
          <w:rFonts w:ascii="Arial" w:cs="Arial" w:eastAsia="Arial" w:hAnsi="Arial"/>
          <w:sz w:val="18"/>
          <w:szCs w:val="18"/>
          <w:color w:val="auto"/>
        </w:rPr>
        <w:t>fifty percent (50%) of the unvested Equity Awards held by the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60" w:name="page361"/>
    <w:bookmarkEnd w:id="360"/>
    <w:p>
      <w:pPr>
        <w:ind w:right="20" w:firstLine="1428"/>
        <w:spacing w:after="0" w:line="287" w:lineRule="auto"/>
        <w:tabs>
          <w:tab w:leader="none" w:pos="1737" w:val="left"/>
        </w:tabs>
        <w:numPr>
          <w:ilvl w:val="1"/>
          <w:numId w:val="29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period commencing on the Date of Termination and ending on the six-month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regulations thereunder (“</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Arial" w:cs="Arial" w:eastAsia="Arial" w:hAnsi="Arial"/>
          <w:sz w:val="16"/>
          <w:szCs w:val="16"/>
          <w:u w:val="single" w:color="auto"/>
          <w:color w:val="auto"/>
        </w:rPr>
        <w:t>Benefits Coverage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63" w:lineRule="exact"/>
        <w:rPr>
          <w:rFonts w:ascii="Arial" w:cs="Arial" w:eastAsia="Arial" w:hAnsi="Arial"/>
          <w:sz w:val="16"/>
          <w:szCs w:val="16"/>
          <w:b w:val="1"/>
          <w:bCs w:val="1"/>
          <w:color w:val="auto"/>
        </w:rPr>
      </w:pPr>
    </w:p>
    <w:p>
      <w:pPr>
        <w:ind w:right="660" w:firstLine="987"/>
        <w:spacing w:after="0" w:line="342" w:lineRule="auto"/>
        <w:tabs>
          <w:tab w:leader="none" w:pos="1256" w:val="left"/>
        </w:tabs>
        <w:numPr>
          <w:ilvl w:val="0"/>
          <w:numId w:val="292"/>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During a Change in Control Period</w:t>
      </w:r>
      <w:r>
        <w:rPr>
          <w:rFonts w:ascii="Arial" w:cs="Arial" w:eastAsia="Arial" w:hAnsi="Arial"/>
          <w:sz w:val="16"/>
          <w:szCs w:val="16"/>
          <w:color w:val="auto"/>
        </w:rPr>
        <w:t>. If, during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0" w:hanging="212"/>
        <w:spacing w:after="0"/>
        <w:tabs>
          <w:tab w:leader="none" w:pos="1640"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1700" w:hanging="272"/>
        <w:spacing w:after="0"/>
        <w:tabs>
          <w:tab w:leader="none" w:pos="1700" w:val="left"/>
        </w:tabs>
        <w:numPr>
          <w:ilvl w:val="1"/>
          <w:numId w:val="292"/>
        </w:numPr>
        <w:rPr>
          <w:rFonts w:ascii="Arial" w:cs="Arial" w:eastAsia="Arial" w:hAnsi="Arial"/>
          <w:sz w:val="16"/>
          <w:szCs w:val="16"/>
          <w:b w:val="1"/>
          <w:bCs w:val="1"/>
          <w:color w:val="auto"/>
        </w:rPr>
      </w:pPr>
      <w:r>
        <w:rPr>
          <w:rFonts w:ascii="Arial" w:cs="Arial" w:eastAsia="Arial" w:hAnsi="Arial"/>
          <w:sz w:val="16"/>
          <w:szCs w:val="16"/>
          <w:color w:val="auto"/>
        </w:rPr>
        <w:t>an amount in cash equal to (A) eighteen months of Executive’s Annual Base Salary plus (B) Executive’s target Annual Bonus;</w:t>
      </w:r>
    </w:p>
    <w:p>
      <w:pPr>
        <w:spacing w:after="0" w:line="140" w:lineRule="exact"/>
        <w:rPr>
          <w:rFonts w:ascii="Arial" w:cs="Arial" w:eastAsia="Arial" w:hAnsi="Arial"/>
          <w:sz w:val="16"/>
          <w:szCs w:val="16"/>
          <w:b w:val="1"/>
          <w:bCs w:val="1"/>
          <w:color w:val="auto"/>
        </w:rPr>
      </w:pPr>
    </w:p>
    <w:p>
      <w:pPr>
        <w:jc w:val="both"/>
        <w:ind w:right="120" w:firstLine="1428"/>
        <w:spacing w:after="0" w:line="263" w:lineRule="auto"/>
        <w:tabs>
          <w:tab w:leader="none" w:pos="1747"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one hundred percent (100%) of all unvested Equity Awards held by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firstLine="1428"/>
        <w:spacing w:after="0" w:line="269" w:lineRule="auto"/>
        <w:tabs>
          <w:tab w:leader="none" w:pos="1737" w:val="left"/>
        </w:tabs>
        <w:numPr>
          <w:ilvl w:val="1"/>
          <w:numId w:val="292"/>
        </w:numPr>
        <w:rPr>
          <w:rFonts w:ascii="Arial" w:cs="Arial" w:eastAsia="Arial" w:hAnsi="Arial"/>
          <w:sz w:val="17"/>
          <w:szCs w:val="17"/>
          <w:b w:val="1"/>
          <w:bCs w:val="1"/>
          <w:color w:val="auto"/>
        </w:rPr>
      </w:pPr>
      <w:r>
        <w:rPr>
          <w:rFonts w:ascii="Arial" w:cs="Arial" w:eastAsia="Arial" w:hAnsi="Arial"/>
          <w:sz w:val="17"/>
          <w:szCs w:val="17"/>
          <w:color w:val="auto"/>
        </w:rPr>
        <w:t xml:space="preserve">during the period commencing on the Date of Termination and ending on the first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77" w:lineRule="exact"/>
        <w:rPr>
          <w:rFonts w:ascii="Arial" w:cs="Arial" w:eastAsia="Arial" w:hAnsi="Arial"/>
          <w:sz w:val="17"/>
          <w:szCs w:val="17"/>
          <w:b w:val="1"/>
          <w:bCs w:val="1"/>
          <w:color w:val="auto"/>
        </w:rPr>
      </w:pPr>
    </w:p>
    <w:p>
      <w:pPr>
        <w:ind w:right="80" w:firstLine="987"/>
        <w:spacing w:after="0" w:line="263" w:lineRule="auto"/>
        <w:tabs>
          <w:tab w:leader="none" w:pos="1236" w:val="left"/>
        </w:tabs>
        <w:numPr>
          <w:ilvl w:val="0"/>
          <w:numId w:val="292"/>
        </w:numPr>
        <w:rPr>
          <w:rFonts w:ascii="Arial" w:cs="Arial" w:eastAsia="Arial" w:hAnsi="Arial"/>
          <w:sz w:val="18"/>
          <w:szCs w:val="18"/>
          <w:b w:val="1"/>
          <w:bCs w:val="1"/>
          <w:color w:val="auto"/>
        </w:rPr>
      </w:pPr>
      <w:r>
        <w:rPr>
          <w:rFonts w:ascii="Arial" w:cs="Arial" w:eastAsia="Arial" w:hAnsi="Arial"/>
          <w:sz w:val="18"/>
          <w:szCs w:val="18"/>
          <w:u w:val="single" w:color="auto"/>
          <w:color w:val="auto"/>
        </w:rPr>
        <w:t>No Other Severance</w:t>
      </w:r>
      <w:r>
        <w:rPr>
          <w:rFonts w:ascii="Arial" w:cs="Arial" w:eastAsia="Arial" w:hAnsi="Arial"/>
          <w:sz w:val="18"/>
          <w:szCs w:val="18"/>
          <w:color w:val="auto"/>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61" w:name="page362"/>
    <w:bookmarkEnd w:id="361"/>
    <w:p>
      <w:pPr>
        <w:ind w:right="180" w:firstLine="987"/>
        <w:spacing w:after="0" w:line="263" w:lineRule="auto"/>
        <w:tabs>
          <w:tab w:leader="none" w:pos="1216" w:val="left"/>
        </w:tabs>
        <w:numPr>
          <w:ilvl w:val="1"/>
          <w:numId w:val="293"/>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71" w:lineRule="exact"/>
        <w:rPr>
          <w:rFonts w:ascii="Arial" w:cs="Arial" w:eastAsia="Arial" w:hAnsi="Arial"/>
          <w:sz w:val="18"/>
          <w:szCs w:val="18"/>
          <w:b w:val="1"/>
          <w:bCs w:val="1"/>
          <w:color w:val="auto"/>
        </w:rPr>
      </w:pPr>
    </w:p>
    <w:p>
      <w:pPr>
        <w:ind w:firstLine="436"/>
        <w:spacing w:after="0" w:line="286" w:lineRule="auto"/>
        <w:tabs>
          <w:tab w:leader="none" w:pos="620"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Notwithstanding anything to the contrary in this Agreement, any payments or other benefits due under this Agreement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are subject to Executive’s execution and delivery of a Release, (a) the Company shall deliver the Release to Executive within ten (10) business days following Executive’s Date of Termination, and the Company’s failure to deliver a Release prior to the expiration of such ten (10) business day period shall constitute a waiver of any requirement to execute a Release, (b) if Executive fails to execute the Release on or prior to the Release Expiration Date (as defined below) or timely revokes Executive’s acceptance of the Release thereafter, Executive shall not be entitled to any payments or benefits otherwise conditioned on the Release, and (c)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(as defined below) shall be made in the later taxable year. For purposes of this Section 7,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(as defined below)) due under this Agreement as a result of Executive’s termination of employment are delayed pursuant to this Section 7, such amounts shall be paid in a lump sum on the first payroll date following the date that Executive executes and does not revoke the Release (and the applicable revocation period has expired) or, in the case of any payments subject to Section 7(c), on the first payroll period to occur in the subsequent taxable year, if later.</w:t>
      </w:r>
    </w:p>
    <w:p>
      <w:pPr>
        <w:spacing w:after="0" w:line="59" w:lineRule="exact"/>
        <w:rPr>
          <w:rFonts w:ascii="Arial" w:cs="Arial" w:eastAsia="Arial" w:hAnsi="Arial"/>
          <w:sz w:val="16"/>
          <w:szCs w:val="16"/>
          <w:b w:val="1"/>
          <w:bCs w:val="1"/>
          <w:color w:val="auto"/>
        </w:rPr>
      </w:pPr>
    </w:p>
    <w:p>
      <w:pPr>
        <w:ind w:firstLine="436"/>
        <w:spacing w:after="0" w:line="294" w:lineRule="auto"/>
        <w:tabs>
          <w:tab w:leader="none" w:pos="620"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color w:val="auto"/>
        </w:rPr>
        <w:t>. For a period of one (1) year following Executive’s Date of Termination, Executive shall not, either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62" w:name="page363"/>
    <w:bookmarkEnd w:id="362"/>
    <w:p>
      <w:pPr>
        <w:ind w:left="624" w:hanging="184"/>
        <w:spacing w:after="0"/>
        <w:tabs>
          <w:tab w:leader="none" w:pos="624"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Golden Parachute Excise Tax</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3" w:lineRule="auto"/>
        <w:tabs>
          <w:tab w:leader="none" w:pos="1250" w:val="left"/>
        </w:tabs>
        <w:numPr>
          <w:ilvl w:val="2"/>
          <w:numId w:val="295"/>
        </w:numPr>
        <w:rPr>
          <w:rFonts w:ascii="Arial" w:cs="Arial" w:eastAsia="Arial" w:hAnsi="Arial"/>
          <w:sz w:val="16"/>
          <w:szCs w:val="16"/>
          <w:b w:val="1"/>
          <w:bCs w:val="1"/>
          <w:color w:val="auto"/>
        </w:rPr>
      </w:pPr>
      <w:r>
        <w:rPr>
          <w:rFonts w:ascii="Arial" w:cs="Arial" w:eastAsia="Arial" w:hAnsi="Arial"/>
          <w:sz w:val="16"/>
          <w:szCs w:val="16"/>
          <w:u w:val="single" w:color="auto"/>
          <w:color w:val="auto"/>
        </w:rPr>
        <w:t>Best Pay</w:t>
      </w:r>
      <w:r>
        <w:rPr>
          <w:rFonts w:ascii="Arial" w:cs="Arial" w:eastAsia="Arial" w:hAnsi="Arial"/>
          <w:sz w:val="16"/>
          <w:szCs w:val="16"/>
          <w:color w:val="auto"/>
        </w:rPr>
        <w:t>. Any provision of this Agreement to the contrary notwithstanding, if any payment or benefit Executive would receive from the Company pursuant to this Agreement or otherwise (“</w:t>
      </w:r>
      <w:r>
        <w:rPr>
          <w:rFonts w:ascii="Arial" w:cs="Arial" w:eastAsia="Arial" w:hAnsi="Arial"/>
          <w:sz w:val="16"/>
          <w:szCs w:val="16"/>
          <w:u w:val="single" w:color="auto"/>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u w:val="single" w:color="auto"/>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u w:val="single" w:color="auto"/>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Arial" w:cs="Arial" w:eastAsia="Arial" w:hAnsi="Arial"/>
          <w:sz w:val="16"/>
          <w:szCs w:val="16"/>
          <w:b w:val="1"/>
          <w:bCs w:val="1"/>
          <w:color w:val="auto"/>
        </w:rPr>
      </w:pPr>
    </w:p>
    <w:p>
      <w:pPr>
        <w:ind w:left="4" w:right="180" w:hanging="4"/>
        <w:spacing w:after="0" w:line="295" w:lineRule="auto"/>
        <w:tabs>
          <w:tab w:leader="none" w:pos="259"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53" w:lineRule="exact"/>
        <w:rPr>
          <w:rFonts w:ascii="Arial" w:cs="Arial" w:eastAsia="Arial" w:hAnsi="Arial"/>
          <w:sz w:val="16"/>
          <w:szCs w:val="16"/>
          <w:color w:val="auto"/>
        </w:rPr>
      </w:pPr>
    </w:p>
    <w:p>
      <w:pPr>
        <w:ind w:left="4" w:firstLine="987"/>
        <w:spacing w:after="0" w:line="289" w:lineRule="auto"/>
        <w:tabs>
          <w:tab w:leader="none" w:pos="1260" w:val="left"/>
        </w:tabs>
        <w:numPr>
          <w:ilvl w:val="2"/>
          <w:numId w:val="296"/>
        </w:numPr>
        <w:rPr>
          <w:rFonts w:ascii="Arial" w:cs="Arial" w:eastAsia="Arial" w:hAnsi="Arial"/>
          <w:sz w:val="16"/>
          <w:szCs w:val="16"/>
          <w:b w:val="1"/>
          <w:bCs w:val="1"/>
          <w:color w:val="auto"/>
        </w:rPr>
      </w:pP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engaged by the Company for general tax purposes as of the day prior to the Change in Control will perform the calculations set forth in Section 9(a)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0" w:right="479" w:bottom="1440" w:gutter="0" w:footer="0" w:header="0"/>
        </w:sectPr>
      </w:pPr>
    </w:p>
    <w:bookmarkStart w:id="363" w:name="page364"/>
    <w:bookmarkEnd w:id="363"/>
    <w:p>
      <w:pPr>
        <w:ind w:left="680" w:hanging="264"/>
        <w:spacing w:after="0"/>
        <w:tabs>
          <w:tab w:leader="none" w:pos="68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987"/>
        <w:spacing w:after="0" w:line="269" w:lineRule="auto"/>
        <w:tabs>
          <w:tab w:leader="none" w:pos="1226" w:val="left"/>
        </w:tabs>
        <w:numPr>
          <w:ilvl w:val="1"/>
          <w:numId w:val="297"/>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73" w:lineRule="exact"/>
        <w:rPr>
          <w:rFonts w:ascii="Arial" w:cs="Arial" w:eastAsia="Arial" w:hAnsi="Arial"/>
          <w:sz w:val="17"/>
          <w:szCs w:val="17"/>
          <w:b w:val="1"/>
          <w:bCs w:val="1"/>
          <w:color w:val="auto"/>
        </w:rPr>
      </w:pPr>
    </w:p>
    <w:p>
      <w:pPr>
        <w:ind w:left="-20" w:right="100" w:firstLine="987"/>
        <w:spacing w:after="0" w:line="290" w:lineRule="auto"/>
        <w:tabs>
          <w:tab w:leader="none" w:pos="1236" w:val="left"/>
        </w:tabs>
        <w:numPr>
          <w:ilvl w:val="1"/>
          <w:numId w:val="297"/>
        </w:numPr>
        <w:rPr>
          <w:rFonts w:ascii="Arial" w:cs="Arial" w:eastAsia="Arial" w:hAnsi="Arial"/>
          <w:sz w:val="16"/>
          <w:szCs w:val="16"/>
          <w:b w:val="1"/>
          <w:bCs w:val="1"/>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16"/>
          <w:szCs w:val="16"/>
          <w:u w:val="single" w:color="auto"/>
          <w:color w:val="auto"/>
        </w:rPr>
        <w:t>Separation from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57" w:lineRule="exact"/>
        <w:rPr>
          <w:rFonts w:ascii="Arial" w:cs="Arial" w:eastAsia="Arial" w:hAnsi="Arial"/>
          <w:sz w:val="16"/>
          <w:szCs w:val="16"/>
          <w:b w:val="1"/>
          <w:bCs w:val="1"/>
          <w:color w:val="auto"/>
        </w:rPr>
      </w:pPr>
    </w:p>
    <w:p>
      <w:pPr>
        <w:ind w:left="-20" w:right="40" w:firstLine="987"/>
        <w:spacing w:after="0" w:line="291" w:lineRule="auto"/>
        <w:tabs>
          <w:tab w:leader="none" w:pos="1216" w:val="left"/>
        </w:tabs>
        <w:numPr>
          <w:ilvl w:val="1"/>
          <w:numId w:val="297"/>
        </w:numPr>
        <w:rPr>
          <w:rFonts w:ascii="Arial" w:cs="Arial" w:eastAsia="Arial" w:hAnsi="Arial"/>
          <w:sz w:val="16"/>
          <w:szCs w:val="16"/>
          <w:b w:val="1"/>
          <w:bCs w:val="1"/>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54" w:lineRule="exact"/>
        <w:rPr>
          <w:rFonts w:ascii="Arial" w:cs="Arial" w:eastAsia="Arial" w:hAnsi="Arial"/>
          <w:sz w:val="16"/>
          <w:szCs w:val="16"/>
          <w:b w:val="1"/>
          <w:bCs w:val="1"/>
          <w:color w:val="auto"/>
        </w:rPr>
      </w:pPr>
    </w:p>
    <w:p>
      <w:pPr>
        <w:jc w:val="both"/>
        <w:ind w:left="-20" w:right="60" w:firstLine="436"/>
        <w:spacing w:after="0" w:line="266" w:lineRule="auto"/>
        <w:tabs>
          <w:tab w:leader="none" w:pos="68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or other taxes or charges which the Company is required to withhold. The Company shall be entitled to rely on an opinion of counsel if any questions as to the amount or requirement of withholding shall arise.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364" w:name="page365"/>
    <w:bookmarkEnd w:id="364"/>
    <w:p>
      <w:pPr>
        <w:ind w:left="704" w:hanging="264"/>
        <w:spacing w:after="0"/>
        <w:tabs>
          <w:tab w:leader="none" w:pos="704"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4" w:lineRule="auto"/>
        <w:tabs>
          <w:tab w:leader="none" w:pos="1250" w:val="left"/>
        </w:tabs>
        <w:numPr>
          <w:ilvl w:val="2"/>
          <w:numId w:val="298"/>
        </w:numPr>
        <w:rPr>
          <w:rFonts w:ascii="Arial" w:cs="Arial" w:eastAsia="Arial" w:hAnsi="Arial"/>
          <w:sz w:val="16"/>
          <w:szCs w:val="16"/>
          <w:b w:val="1"/>
          <w:bCs w:val="1"/>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w:t>
      </w:r>
    </w:p>
    <w:p>
      <w:pPr>
        <w:spacing w:after="0" w:line="4" w:lineRule="exact"/>
        <w:rPr>
          <w:rFonts w:ascii="Arial" w:cs="Arial" w:eastAsia="Arial" w:hAnsi="Arial"/>
          <w:sz w:val="16"/>
          <w:szCs w:val="16"/>
          <w:b w:val="1"/>
          <w:bCs w:val="1"/>
          <w:color w:val="auto"/>
        </w:rPr>
      </w:pPr>
    </w:p>
    <w:p>
      <w:pPr>
        <w:ind w:left="4" w:right="340" w:hanging="4"/>
        <w:spacing w:after="0" w:line="277" w:lineRule="auto"/>
        <w:tabs>
          <w:tab w:leader="none" w:pos="249" w:val="left"/>
        </w:tabs>
        <w:numPr>
          <w:ilvl w:val="0"/>
          <w:numId w:val="299"/>
        </w:numPr>
        <w:rPr>
          <w:rFonts w:ascii="Arial" w:cs="Arial" w:eastAsia="Arial" w:hAnsi="Arial"/>
          <w:sz w:val="17"/>
          <w:szCs w:val="17"/>
          <w:color w:val="auto"/>
        </w:rPr>
      </w:pPr>
      <w:r>
        <w:rPr>
          <w:rFonts w:ascii="Arial" w:cs="Arial" w:eastAsia="Arial" w:hAnsi="Arial"/>
          <w:sz w:val="17"/>
          <w:szCs w:val="17"/>
          <w:color w:val="auto"/>
        </w:rPr>
        <w:t>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64" w:lineRule="exact"/>
        <w:rPr>
          <w:rFonts w:ascii="Arial" w:cs="Arial" w:eastAsia="Arial" w:hAnsi="Arial"/>
          <w:sz w:val="17"/>
          <w:szCs w:val="17"/>
          <w:color w:val="auto"/>
        </w:rPr>
      </w:pPr>
    </w:p>
    <w:p>
      <w:pPr>
        <w:ind w:left="4" w:firstLine="987"/>
        <w:spacing w:after="0" w:line="275" w:lineRule="auto"/>
        <w:tabs>
          <w:tab w:leader="none" w:pos="1260" w:val="left"/>
        </w:tabs>
        <w:numPr>
          <w:ilvl w:val="2"/>
          <w:numId w:val="299"/>
        </w:numPr>
        <w:rPr>
          <w:rFonts w:ascii="Arial" w:cs="Arial" w:eastAsia="Arial" w:hAnsi="Arial"/>
          <w:sz w:val="17"/>
          <w:szCs w:val="17"/>
          <w:b w:val="1"/>
          <w:bCs w:val="1"/>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68" w:lineRule="exact"/>
        <w:rPr>
          <w:rFonts w:ascii="Arial" w:cs="Arial" w:eastAsia="Arial" w:hAnsi="Arial"/>
          <w:sz w:val="17"/>
          <w:szCs w:val="17"/>
          <w:b w:val="1"/>
          <w:bCs w:val="1"/>
          <w:color w:val="auto"/>
        </w:rPr>
      </w:pPr>
    </w:p>
    <w:p>
      <w:pPr>
        <w:ind w:left="4" w:right="180" w:firstLine="987"/>
        <w:spacing w:after="0" w:line="259" w:lineRule="auto"/>
        <w:tabs>
          <w:tab w:leader="none" w:pos="1240" w:val="left"/>
        </w:tabs>
        <w:numPr>
          <w:ilvl w:val="2"/>
          <w:numId w:val="299"/>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78" w:lineRule="exact"/>
        <w:rPr>
          <w:rFonts w:ascii="Arial" w:cs="Arial" w:eastAsia="Arial" w:hAnsi="Arial"/>
          <w:sz w:val="18"/>
          <w:szCs w:val="18"/>
          <w:b w:val="1"/>
          <w:bCs w:val="1"/>
          <w:color w:val="auto"/>
        </w:rPr>
      </w:pPr>
    </w:p>
    <w:p>
      <w:pPr>
        <w:ind w:left="4" w:right="920" w:firstLine="987"/>
        <w:spacing w:after="0" w:line="277" w:lineRule="auto"/>
        <w:tabs>
          <w:tab w:leader="none" w:pos="1260" w:val="left"/>
        </w:tabs>
        <w:numPr>
          <w:ilvl w:val="2"/>
          <w:numId w:val="299"/>
        </w:numPr>
        <w:rPr>
          <w:rFonts w:ascii="Arial" w:cs="Arial" w:eastAsia="Arial" w:hAnsi="Arial"/>
          <w:sz w:val="18"/>
          <w:szCs w:val="18"/>
          <w:b w:val="1"/>
          <w:bCs w:val="1"/>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2" w:lineRule="exact"/>
        <w:rPr>
          <w:rFonts w:ascii="Arial" w:cs="Arial" w:eastAsia="Arial" w:hAnsi="Arial"/>
          <w:sz w:val="18"/>
          <w:szCs w:val="18"/>
          <w:b w:val="1"/>
          <w:bCs w:val="1"/>
          <w:color w:val="auto"/>
        </w:rPr>
      </w:pPr>
    </w:p>
    <w:p>
      <w:pPr>
        <w:ind w:left="4" w:right="160" w:firstLine="987"/>
        <w:spacing w:after="0" w:line="273" w:lineRule="auto"/>
        <w:tabs>
          <w:tab w:leader="none" w:pos="1240" w:val="left"/>
        </w:tabs>
        <w:numPr>
          <w:ilvl w:val="2"/>
          <w:numId w:val="299"/>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365" w:name="page366"/>
    <w:bookmarkEnd w:id="365"/>
    <w:p>
      <w:pPr>
        <w:ind w:left="-40" w:right="40" w:firstLine="987"/>
        <w:spacing w:after="0" w:line="269" w:lineRule="auto"/>
        <w:tabs>
          <w:tab w:leader="none" w:pos="1176" w:val="left"/>
        </w:tabs>
        <w:numPr>
          <w:ilvl w:val="0"/>
          <w:numId w:val="300"/>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Arial" w:cs="Arial" w:eastAsia="Arial" w:hAnsi="Arial"/>
          <w:sz w:val="17"/>
          <w:szCs w:val="17"/>
          <w:color w:val="auto"/>
        </w:rPr>
        <w:t xml:space="preserve">. Executive agrees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mutually selected by the Company and Executive. This means that disputes will be decided by an arbitrator rather than a court or jury, and that both Executive and the Company waive their respective rights to a court or jury trial. Judgment on the arbitration award may be entered in any court having jurisdiction. Nothing herein shall prevent either Party from pursuing injunctive relief in court (without having to post a bond) to avoid irreparable harm pending completion of any arbitration. Within twenty (20) days of the conclusion of the arbitration hearing, the arbitrator shall prepare written findings of fact and conclusions of law. Each party shall bear its own costs and attorneys’ fees in connection with arbitration;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pay all costs unique to arbitration, including the arbitrator’s fees and costs, that Executive would not be required to pay if the claim was in court. Executive shall be entitled to recover reasonable attorneys’ fees and costs incurred by Executive in any arbitration Executive initiates to enforce Executive’s rights under this Agreement and in which Executive is deemed to be the prevailing party.</w:t>
      </w:r>
    </w:p>
    <w:p>
      <w:pPr>
        <w:spacing w:after="0" w:line="73" w:lineRule="exact"/>
        <w:rPr>
          <w:rFonts w:ascii="Arial" w:cs="Arial" w:eastAsia="Arial" w:hAnsi="Arial"/>
          <w:sz w:val="17"/>
          <w:szCs w:val="17"/>
          <w:b w:val="1"/>
          <w:bCs w:val="1"/>
          <w:color w:val="auto"/>
        </w:rPr>
      </w:pPr>
    </w:p>
    <w:p>
      <w:pPr>
        <w:ind w:left="-40" w:right="20" w:firstLine="987"/>
        <w:spacing w:after="0" w:line="255" w:lineRule="auto"/>
        <w:tabs>
          <w:tab w:leader="none" w:pos="1206" w:val="left"/>
        </w:tabs>
        <w:numPr>
          <w:ilvl w:val="0"/>
          <w:numId w:val="300"/>
        </w:numPr>
        <w:rPr>
          <w:rFonts w:ascii="Arial" w:cs="Arial" w:eastAsia="Arial" w:hAnsi="Arial"/>
          <w:sz w:val="18"/>
          <w:szCs w:val="18"/>
          <w:b w:val="1"/>
          <w:bCs w:val="1"/>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4" w:lineRule="exact"/>
        <w:rPr>
          <w:rFonts w:ascii="Arial" w:cs="Arial" w:eastAsia="Arial" w:hAnsi="Arial"/>
          <w:sz w:val="18"/>
          <w:szCs w:val="18"/>
          <w:b w:val="1"/>
          <w:bCs w:val="1"/>
          <w:color w:val="auto"/>
        </w:rPr>
      </w:pPr>
    </w:p>
    <w:p>
      <w:pPr>
        <w:ind w:left="-40" w:firstLine="987"/>
        <w:spacing w:after="0" w:line="301" w:lineRule="auto"/>
        <w:tabs>
          <w:tab w:leader="none" w:pos="1216" w:val="left"/>
        </w:tabs>
        <w:numPr>
          <w:ilvl w:val="0"/>
          <w:numId w:val="300"/>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of this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49" w:lineRule="exact"/>
        <w:rPr>
          <w:rFonts w:ascii="Arial" w:cs="Arial" w:eastAsia="Arial" w:hAnsi="Arial"/>
          <w:sz w:val="16"/>
          <w:szCs w:val="16"/>
          <w:b w:val="1"/>
          <w:bCs w:val="1"/>
          <w:color w:val="auto"/>
        </w:rPr>
      </w:pPr>
    </w:p>
    <w:p>
      <w:pPr>
        <w:ind w:left="-40" w:right="120" w:firstLine="987"/>
        <w:spacing w:after="0" w:line="263" w:lineRule="auto"/>
        <w:tabs>
          <w:tab w:leader="none" w:pos="1166" w:val="left"/>
        </w:tabs>
        <w:numPr>
          <w:ilvl w:val="0"/>
          <w:numId w:val="300"/>
        </w:numPr>
        <w:rPr>
          <w:rFonts w:ascii="Arial" w:cs="Arial" w:eastAsia="Arial" w:hAnsi="Arial"/>
          <w:sz w:val="18"/>
          <w:szCs w:val="18"/>
          <w:b w:val="1"/>
          <w:bCs w:val="1"/>
          <w:color w:val="auto"/>
        </w:rPr>
      </w:pPr>
      <w:r>
        <w:rPr>
          <w:rFonts w:ascii="Arial" w:cs="Arial" w:eastAsia="Arial" w:hAnsi="Arial"/>
          <w:sz w:val="18"/>
          <w:szCs w:val="18"/>
          <w:u w:val="single" w:color="auto"/>
          <w:color w:val="auto"/>
        </w:rPr>
        <w:t>Employee Acknowledgement</w:t>
      </w:r>
      <w:r>
        <w:rPr>
          <w:rFonts w:ascii="Arial" w:cs="Arial" w:eastAsia="Arial" w:hAnsi="Arial"/>
          <w:sz w:val="18"/>
          <w:szCs w:val="18"/>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75" w:lineRule="exact"/>
        <w:rPr>
          <w:rFonts w:ascii="Arial" w:cs="Arial" w:eastAsia="Arial" w:hAnsi="Arial"/>
          <w:sz w:val="18"/>
          <w:szCs w:val="18"/>
          <w:b w:val="1"/>
          <w:bCs w:val="1"/>
          <w:color w:val="auto"/>
        </w:rPr>
      </w:pPr>
    </w:p>
    <w:p>
      <w:pPr>
        <w:ind w:left="-40" w:right="380" w:firstLine="987"/>
        <w:spacing w:after="0" w:line="342" w:lineRule="auto"/>
        <w:tabs>
          <w:tab w:leader="none" w:pos="1176" w:val="left"/>
        </w:tabs>
        <w:numPr>
          <w:ilvl w:val="0"/>
          <w:numId w:val="300"/>
        </w:numPr>
        <w:rPr>
          <w:rFonts w:ascii="Arial" w:cs="Arial" w:eastAsia="Arial" w:hAnsi="Arial"/>
          <w:sz w:val="16"/>
          <w:szCs w:val="16"/>
          <w:b w:val="1"/>
          <w:bCs w:val="1"/>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4" w:right="49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duly executed this Agreement as of the date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TYRA BIOSCIENCES,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Harris</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Todd Harris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Hudkins</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Robert Hudkins, Ph.D.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spacing w:after="0"/>
              <w:rPr>
                <w:sz w:val="20"/>
                <w:szCs w:val="20"/>
                <w:color w:val="auto"/>
              </w:rPr>
            </w:pPr>
          </w:p>
        </w:tc>
      </w:tr>
    </w:tbl>
    <w:p>
      <w:pPr>
        <w:spacing w:after="0" w:line="9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ectPr>
          <w:pgSz w:w="11900" w:h="16838" w:orient="portrait"/>
          <w:cols w:equalWidth="0" w:num="1">
            <w:col w:w="10580"/>
          </w:cols>
          <w:pgMar w:left="880" w:top="274" w:right="439" w:bottom="1440" w:gutter="0" w:footer="0" w:header="0"/>
        </w:sectPr>
      </w:pPr>
    </w:p>
    <w:bookmarkStart w:id="367" w:name="page368"/>
    <w:bookmarkEnd w:id="36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defined terms used in this Appendix I that are not otherwise defined in this Appendix I shall have the meaning ascribed to such terms in the Employment Agreement to which this Appendix I relates.</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Acquiring Company</w:t>
      </w:r>
      <w:r>
        <w:rPr>
          <w:rFonts w:ascii="Arial" w:cs="Arial" w:eastAsia="Arial" w:hAnsi="Arial"/>
          <w:sz w:val="18"/>
          <w:szCs w:val="18"/>
          <w:color w:val="auto"/>
        </w:rPr>
        <w:t>” shall mean the resulting or surviving corporation, or the company issuing cash or securities (or its ultimate parent company), in a merger consolidation, tender offer or share exchange involving the Company, or the successor corporation to the Company (whether in any such transaction or otherwise).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the occurrence of any one or more of the following events or conditions:</w:t>
      </w:r>
    </w:p>
    <w:p>
      <w:pPr>
        <w:spacing w:after="0" w:line="121" w:lineRule="exact"/>
        <w:rPr>
          <w:sz w:val="20"/>
          <w:szCs w:val="20"/>
          <w:color w:val="auto"/>
        </w:rPr>
      </w:pPr>
    </w:p>
    <w:p>
      <w:pPr>
        <w:ind w:right="40" w:firstLine="987"/>
        <w:spacing w:after="0" w:line="342" w:lineRule="auto"/>
        <w:tabs>
          <w:tab w:leader="none" w:pos="1206" w:val="left"/>
        </w:tabs>
        <w:numPr>
          <w:ilvl w:val="0"/>
          <w:numId w:val="301"/>
        </w:numPr>
        <w:rPr>
          <w:rFonts w:ascii="Arial" w:cs="Arial" w:eastAsia="Arial" w:hAnsi="Arial"/>
          <w:sz w:val="16"/>
          <w:szCs w:val="16"/>
          <w:b w:val="1"/>
          <w:bCs w:val="1"/>
          <w:color w:val="auto"/>
        </w:rPr>
      </w:pPr>
      <w:r>
        <w:rPr>
          <w:rFonts w:ascii="Arial" w:cs="Arial" w:eastAsia="Arial" w:hAnsi="Arial"/>
          <w:sz w:val="16"/>
          <w:szCs w:val="16"/>
          <w:color w:val="auto"/>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spacing w:after="0" w:line="15" w:lineRule="exact"/>
        <w:rPr>
          <w:rFonts w:ascii="Arial" w:cs="Arial" w:eastAsia="Arial" w:hAnsi="Arial"/>
          <w:sz w:val="16"/>
          <w:szCs w:val="16"/>
          <w:b w:val="1"/>
          <w:bCs w:val="1"/>
          <w:color w:val="auto"/>
        </w:rPr>
      </w:pPr>
    </w:p>
    <w:p>
      <w:pPr>
        <w:ind w:right="300" w:firstLine="987"/>
        <w:spacing w:after="0" w:line="277" w:lineRule="auto"/>
        <w:tabs>
          <w:tab w:leader="none" w:pos="1256"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Executive’s dishonesty or other misconduct, if such dishonesty or other misconduct is intended to or likely to materially injure the business or reputation of the Company;</w:t>
      </w:r>
    </w:p>
    <w:p>
      <w:pPr>
        <w:spacing w:after="0" w:line="62" w:lineRule="exact"/>
        <w:rPr>
          <w:rFonts w:ascii="Arial" w:cs="Arial" w:eastAsia="Arial" w:hAnsi="Arial"/>
          <w:sz w:val="18"/>
          <w:szCs w:val="18"/>
          <w:b w:val="1"/>
          <w:bCs w:val="1"/>
          <w:color w:val="auto"/>
        </w:rPr>
      </w:pPr>
    </w:p>
    <w:p>
      <w:pPr>
        <w:ind w:left="1300" w:hanging="313"/>
        <w:spacing w:after="0"/>
        <w:tabs>
          <w:tab w:leader="none" w:pos="1300" w:val="left"/>
        </w:tabs>
        <w:numPr>
          <w:ilvl w:val="0"/>
          <w:numId w:val="301"/>
        </w:numPr>
        <w:rPr>
          <w:rFonts w:ascii="Arial" w:cs="Arial" w:eastAsia="Arial" w:hAnsi="Arial"/>
          <w:sz w:val="17"/>
          <w:szCs w:val="17"/>
          <w:b w:val="1"/>
          <w:bCs w:val="1"/>
          <w:color w:val="auto"/>
        </w:rPr>
      </w:pPr>
      <w:r>
        <w:rPr>
          <w:rFonts w:ascii="Arial" w:cs="Arial" w:eastAsia="Arial" w:hAnsi="Arial"/>
          <w:sz w:val="17"/>
          <w:szCs w:val="17"/>
          <w:color w:val="auto"/>
        </w:rPr>
        <w:t>Executive’s conviction or no contest plea to any misdemeanor involving dishonesty, theft, fraud or moral turpitude, or any felony.</w:t>
      </w:r>
    </w:p>
    <w:p>
      <w:pPr>
        <w:spacing w:after="0" w:line="128" w:lineRule="exact"/>
        <w:rPr>
          <w:rFonts w:ascii="Arial" w:cs="Arial" w:eastAsia="Arial" w:hAnsi="Arial"/>
          <w:sz w:val="17"/>
          <w:szCs w:val="17"/>
          <w:b w:val="1"/>
          <w:bCs w:val="1"/>
          <w:color w:val="auto"/>
        </w:rPr>
      </w:pPr>
    </w:p>
    <w:p>
      <w:pPr>
        <w:ind w:right="160" w:firstLine="987"/>
        <w:spacing w:after="0" w:line="308" w:lineRule="auto"/>
        <w:tabs>
          <w:tab w:leader="none" w:pos="1296" w:val="left"/>
        </w:tabs>
        <w:numPr>
          <w:ilvl w:val="0"/>
          <w:numId w:val="301"/>
        </w:numPr>
        <w:rPr>
          <w:rFonts w:ascii="Arial" w:cs="Arial" w:eastAsia="Arial" w:hAnsi="Arial"/>
          <w:sz w:val="17"/>
          <w:szCs w:val="17"/>
          <w:b w:val="1"/>
          <w:bCs w:val="1"/>
          <w:color w:val="auto"/>
        </w:rPr>
      </w:pPr>
      <w:r>
        <w:rPr>
          <w:rFonts w:ascii="Arial" w:cs="Arial" w:eastAsia="Arial" w:hAnsi="Arial"/>
          <w:sz w:val="17"/>
          <w:szCs w:val="17"/>
          <w:color w:val="auto"/>
        </w:rPr>
        <w:t>Executive’s insobriety or illegal use of drugs, chemicals or controlled substances either (A) in the course of performing Executive’s duties and responsibilities under this Agreement or (B) otherwise materially affecting the ability of Executive to perform the same;</w:t>
      </w:r>
    </w:p>
    <w:p>
      <w:pPr>
        <w:spacing w:after="0" w:line="38" w:lineRule="exact"/>
        <w:rPr>
          <w:rFonts w:ascii="Arial" w:cs="Arial" w:eastAsia="Arial" w:hAnsi="Arial"/>
          <w:sz w:val="17"/>
          <w:szCs w:val="17"/>
          <w:b w:val="1"/>
          <w:bCs w:val="1"/>
          <w:color w:val="auto"/>
        </w:rPr>
      </w:pPr>
    </w:p>
    <w:p>
      <w:pPr>
        <w:ind w:right="40" w:firstLine="987"/>
        <w:spacing w:after="0" w:line="277" w:lineRule="auto"/>
        <w:tabs>
          <w:tab w:leader="none" w:pos="1246"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Executive’s material breach of any written agreement with the Company or any of its affiliates or material violation of the Company’s Code of Conduct or any other material written policy of the Company; or</w:t>
      </w:r>
    </w:p>
    <w:p>
      <w:pPr>
        <w:spacing w:after="0" w:line="62" w:lineRule="exact"/>
        <w:rPr>
          <w:rFonts w:ascii="Arial" w:cs="Arial" w:eastAsia="Arial" w:hAnsi="Arial"/>
          <w:sz w:val="18"/>
          <w:szCs w:val="18"/>
          <w:b w:val="1"/>
          <w:bCs w:val="1"/>
          <w:color w:val="auto"/>
        </w:rPr>
      </w:pPr>
    </w:p>
    <w:p>
      <w:pPr>
        <w:ind w:left="1300" w:hanging="313"/>
        <w:spacing w:after="0"/>
        <w:tabs>
          <w:tab w:leader="none" w:pos="130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Any wanton or willful dereliction of duties by Executive.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shall mean the occurrence of any of the following events or circumstances:</w:t>
      </w:r>
    </w:p>
    <w:p>
      <w:pPr>
        <w:spacing w:after="0" w:line="117" w:lineRule="exact"/>
        <w:rPr>
          <w:sz w:val="20"/>
          <w:szCs w:val="20"/>
          <w:color w:val="auto"/>
        </w:rPr>
      </w:pPr>
    </w:p>
    <w:p>
      <w:pPr>
        <w:ind w:left="1200" w:hanging="213"/>
        <w:spacing w:after="0"/>
        <w:tabs>
          <w:tab w:leader="none" w:pos="1200" w:val="left"/>
        </w:tabs>
        <w:numPr>
          <w:ilvl w:val="0"/>
          <w:numId w:val="302"/>
        </w:numPr>
        <w:rPr>
          <w:rFonts w:ascii="Arial" w:cs="Arial" w:eastAsia="Arial" w:hAnsi="Arial"/>
          <w:sz w:val="17"/>
          <w:szCs w:val="17"/>
          <w:b w:val="1"/>
          <w:bCs w:val="1"/>
          <w:color w:val="auto"/>
        </w:rPr>
      </w:pPr>
      <w:r>
        <w:rPr>
          <w:rFonts w:ascii="Arial" w:cs="Arial" w:eastAsia="Arial" w:hAnsi="Arial"/>
          <w:sz w:val="17"/>
          <w:szCs w:val="17"/>
          <w:color w:val="auto"/>
        </w:rPr>
        <w:t>any “person” (within the meaning of Section 13(d) or 14(d) of the Securities Exchange Act of 1934, as amended (the “</w:t>
      </w:r>
      <w:r>
        <w:rPr>
          <w:rFonts w:ascii="Arial" w:cs="Arial" w:eastAsia="Arial" w:hAnsi="Arial"/>
          <w:sz w:val="17"/>
          <w:szCs w:val="17"/>
          <w:b w:val="1"/>
          <w:bCs w:val="1"/>
          <w:color w:val="auto"/>
        </w:rPr>
        <w:t>Exchange</w:t>
      </w:r>
    </w:p>
    <w:p>
      <w:pPr>
        <w:spacing w:after="0" w:line="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Act</w:t>
      </w:r>
      <w:r>
        <w:rPr>
          <w:rFonts w:ascii="Arial" w:cs="Arial" w:eastAsia="Arial" w:hAnsi="Arial"/>
          <w:sz w:val="17"/>
          <w:szCs w:val="17"/>
          <w:color w:val="auto"/>
        </w:rPr>
        <w:t>”)), including a “group” within the meaning of such Section 13(d) but excluding the Company and any of its subsidiaries and any employee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plan sponsored or maintained by the Company or any subsidiary thereof, shall become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w:t>
      </w:r>
      <w:r>
        <w:rPr>
          <w:rFonts w:ascii="Arial" w:cs="Arial" w:eastAsia="Arial" w:hAnsi="Arial"/>
          <w:sz w:val="17"/>
          <w:szCs w:val="17"/>
          <w:b w:val="1"/>
          <w:bCs w:val="1"/>
          <w:color w:val="auto"/>
        </w:rPr>
        <w:t>Company Voting Securities</w:t>
      </w:r>
      <w:r>
        <w:rPr>
          <w:rFonts w:ascii="Arial" w:cs="Arial" w:eastAsia="Arial" w:hAnsi="Arial"/>
          <w:sz w:val="17"/>
          <w:szCs w:val="17"/>
          <w:color w:val="auto"/>
        </w:rPr>
        <w:t>”);</w:t>
      </w:r>
    </w:p>
    <w:p>
      <w:pPr>
        <w:sectPr>
          <w:pgSz w:w="11900" w:h="16838" w:orient="portrait"/>
          <w:cols w:equalWidth="0" w:num="1">
            <w:col w:w="10920"/>
          </w:cols>
          <w:pgMar w:left="440" w:top="270" w:right="539" w:bottom="1440" w:gutter="0" w:footer="0" w:header="0"/>
        </w:sectPr>
      </w:pPr>
    </w:p>
    <w:bookmarkStart w:id="368" w:name="page369"/>
    <w:bookmarkEnd w:id="368"/>
    <w:p>
      <w:pPr>
        <w:ind w:right="40" w:firstLine="987"/>
        <w:spacing w:after="0" w:line="273" w:lineRule="auto"/>
        <w:tabs>
          <w:tab w:leader="none" w:pos="1256"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 merger or consolidation involving the Company, or the acceptance by the stockholders of the Company of equity securities in a share exchange, where the Persons who were the beneficial owners of the Company Voting Securities outstanding immediately prior to such merger, consolidation or share exchange, do not beneficially own, directly or indirectly, immediately after such merger, consolidation or share exchange, securities representing more than fifty percent (50%) of the combined voting power of the then-outstanding Company Voting Securities or voting securities of the Acquiring Company in such merger, consolidation or share exchange, in substantially the same proportions as their ownership of the Company Voting Securities immediately prior to such merger, consolidation or share exchange;</w:t>
      </w:r>
    </w:p>
    <w:p>
      <w:pPr>
        <w:spacing w:after="0" w:line="69" w:lineRule="exact"/>
        <w:rPr>
          <w:rFonts w:ascii="Arial" w:cs="Arial" w:eastAsia="Arial" w:hAnsi="Arial"/>
          <w:sz w:val="17"/>
          <w:szCs w:val="17"/>
          <w:b w:val="1"/>
          <w:bCs w:val="1"/>
          <w:color w:val="auto"/>
        </w:rPr>
      </w:pPr>
    </w:p>
    <w:p>
      <w:pPr>
        <w:ind w:right="40" w:firstLine="987"/>
        <w:spacing w:after="0" w:line="275" w:lineRule="auto"/>
        <w:tabs>
          <w:tab w:leader="none" w:pos="1306"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a sale, exchange or other disposition or transfer (in one transaction or a series of related transactions) of all or substantially all of the assets of the Company; provided, however, that a Change in Control shall not be deemed to have occurred where: (x) the Company sells, exchanges or otherwise disposes or transfers all or substantially all of its assets to another Person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expressly assumes this Agreement; or</w:t>
      </w:r>
    </w:p>
    <w:p>
      <w:pPr>
        <w:spacing w:after="0" w:line="68" w:lineRule="exact"/>
        <w:rPr>
          <w:rFonts w:ascii="Arial" w:cs="Arial" w:eastAsia="Arial" w:hAnsi="Arial"/>
          <w:sz w:val="17"/>
          <w:szCs w:val="17"/>
          <w:b w:val="1"/>
          <w:bCs w:val="1"/>
          <w:color w:val="auto"/>
        </w:rPr>
      </w:pPr>
    </w:p>
    <w:p>
      <w:pPr>
        <w:ind w:firstLine="987"/>
        <w:spacing w:after="0" w:line="272" w:lineRule="auto"/>
        <w:tabs>
          <w:tab w:leader="none" w:pos="1296"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such time as the Continuing Directors (as defined below) do not constitute at least a majority of the Board (or, if applicable, the board of directors of a successor to the Company), where the term “Continuing Director” means at any date a member of the Board who was: (x) a member of the Board on the Effective Date; or (y)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shall be a Continuing Director).</w:t>
      </w:r>
    </w:p>
    <w:p>
      <w:pPr>
        <w:spacing w:after="0" w:line="17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 Period</w:t>
      </w:r>
      <w:r>
        <w:rPr>
          <w:rFonts w:ascii="Arial" w:cs="Arial" w:eastAsia="Arial" w:hAnsi="Arial"/>
          <w:sz w:val="18"/>
          <w:szCs w:val="18"/>
          <w:color w:val="auto"/>
        </w:rPr>
        <w:t>” shall mean the period commencing three (3) months prior to a Change in Control and ending on the eighteen (18)-month anniversary of the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permanent and total disability within the meaning of Section 22(e) of the Code.</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Good Reason</w:t>
      </w:r>
      <w:r>
        <w:rPr>
          <w:rFonts w:ascii="Arial" w:cs="Arial" w:eastAsia="Arial" w:hAnsi="Arial"/>
          <w:sz w:val="17"/>
          <w:szCs w:val="17"/>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your Annual Base Salary); (ii) a material reduction of Executive’s duties and responsibilities from those in effect on the Effective Date; (iii) the Company’s material breach of this Agreement (other than a reduction of your Annual Base Salary as part of a reduction in the base salaries of all or substantially all other similarly situated employees of the Company that is in the same proportion as the reduction in your Annual Base Salary); or (iv) the permanent, non-voluntary relocation of Executive’s principal place of employment that increases Executive’s one-way</w:t>
      </w:r>
    </w:p>
    <w:p>
      <w:pPr>
        <w:sectPr>
          <w:pgSz w:w="11900" w:h="16838" w:orient="portrait"/>
          <w:cols w:equalWidth="0" w:num="1">
            <w:col w:w="11000"/>
          </w:cols>
          <w:pgMar w:left="440" w:top="274" w:right="459" w:bottom="1440" w:gutter="0" w:footer="0" w:header="0"/>
        </w:sectPr>
      </w:pPr>
    </w:p>
    <w:bookmarkStart w:id="369" w:name="page370"/>
    <w:bookmarkEnd w:id="36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commute by more than thirty-five (35) miles, provided, that, in each case, Executive will not be deemed to have Good Reason unless (A)Executive first provides the Board with written notice of the condition giving rise to Good Reason within thirty (30)days of its initial occurrence, (B)the Company or the successor company fails to cure such condition within ten (10)days after receiving such written notice (the “Cure Period”), and (C)Executive’s resignation based on such Good Reason is effective within thirty (30)days after the expiration of the Cure Period.</w:t>
      </w:r>
    </w:p>
    <w:p>
      <w:pPr>
        <w:spacing w:after="0" w:line="16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Involuntary Termination</w:t>
      </w:r>
      <w:r>
        <w:rPr>
          <w:rFonts w:ascii="Arial" w:cs="Arial" w:eastAsia="Arial" w:hAnsi="Arial"/>
          <w:sz w:val="18"/>
          <w:szCs w:val="18"/>
          <w:color w:val="auto"/>
        </w:rPr>
        <w:t>” shall mean Executive’s termination (A) by the Company without Cause, (B) by Executive for Good Reason, (C) due to death or (D) due to Disability.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any individual, corporation, limited liability corporation, partnership, or other business entity.</w:t>
      </w:r>
    </w:p>
    <w:p>
      <w:pPr>
        <w:sectPr>
          <w:pgSz w:w="11900" w:h="16838" w:orient="portrait"/>
          <w:cols w:equalWidth="0" w:num="1">
            <w:col w:w="10920"/>
          </w:cols>
          <w:pgMar w:left="440" w:top="274" w:right="53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i w:val="1"/>
          <w:iCs w:val="1"/>
          <w:color w:val="auto"/>
        </w:rPr>
        <w:t>Exhibit 10.11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This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this 18</w:t>
      </w:r>
      <w:r>
        <w:rPr>
          <w:rFonts w:ascii="Arial" w:cs="Arial" w:eastAsia="Arial" w:hAnsi="Arial"/>
          <w:sz w:val="14"/>
          <w:szCs w:val="14"/>
          <w:color w:val="auto"/>
        </w:rPr>
        <w:t>th</w:t>
      </w:r>
      <w:r>
        <w:rPr>
          <w:rFonts w:ascii="Arial" w:cs="Arial" w:eastAsia="Arial" w:hAnsi="Arial"/>
          <w:sz w:val="17"/>
          <w:szCs w:val="17"/>
          <w:color w:val="auto"/>
        </w:rPr>
        <w:t xml:space="preserve"> day of January, 2021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Tyra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Piyush Patel (“</w:t>
      </w:r>
      <w:r>
        <w:rPr>
          <w:rFonts w:ascii="Arial" w:cs="Arial" w:eastAsia="Arial" w:hAnsi="Arial"/>
          <w:sz w:val="17"/>
          <w:szCs w:val="17"/>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Capitalized terms used herein and not otherwise defined shall have those meanings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 xml:space="preserve"> hereto.</w:t>
      </w:r>
    </w:p>
    <w:p>
      <w:pPr>
        <w:spacing w:after="0" w:line="16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retain the services of Executive by engaging Executive to perform services as an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hereof;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desires to provide services to the Company on the terms hereof.</w:t>
      </w:r>
    </w:p>
    <w:p>
      <w:pPr>
        <w:spacing w:after="0" w:line="225"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32" w:lineRule="exact"/>
        <w:rPr>
          <w:sz w:val="20"/>
          <w:szCs w:val="20"/>
          <w:color w:val="auto"/>
        </w:rPr>
      </w:pPr>
    </w:p>
    <w:p>
      <w:pPr>
        <w:ind w:left="620" w:hanging="184"/>
        <w:spacing w:after="0"/>
        <w:tabs>
          <w:tab w:leader="none" w:pos="62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304"/>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employ Executive upon the terms and conditions provided herein effective as of the Effective Date.</w:t>
      </w:r>
    </w:p>
    <w:p>
      <w:pPr>
        <w:spacing w:after="0" w:line="128" w:lineRule="exact"/>
        <w:rPr>
          <w:rFonts w:ascii="Arial" w:cs="Arial" w:eastAsia="Arial" w:hAnsi="Arial"/>
          <w:sz w:val="17"/>
          <w:szCs w:val="17"/>
          <w:b w:val="1"/>
          <w:bCs w:val="1"/>
          <w:color w:val="auto"/>
        </w:rPr>
      </w:pPr>
    </w:p>
    <w:p>
      <w:pPr>
        <w:ind w:right="240" w:firstLine="987"/>
        <w:spacing w:after="0" w:line="273" w:lineRule="auto"/>
        <w:tabs>
          <w:tab w:leader="none" w:pos="1256" w:val="left"/>
        </w:tabs>
        <w:numPr>
          <w:ilvl w:val="1"/>
          <w:numId w:val="304"/>
        </w:numPr>
        <w:rPr>
          <w:rFonts w:ascii="Arial" w:cs="Arial" w:eastAsia="Arial" w:hAnsi="Arial"/>
          <w:sz w:val="17"/>
          <w:szCs w:val="17"/>
          <w:b w:val="1"/>
          <w:bCs w:val="1"/>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Effective on the Effective Date, Executive shall serve as the Company’s Chief Development Officer, with responsibilities, duties, and authority usual and customary for such position subject to direction by the Chief Operating Officer (the “</w:t>
      </w:r>
      <w:r>
        <w:rPr>
          <w:rFonts w:ascii="Arial" w:cs="Arial" w:eastAsia="Arial" w:hAnsi="Arial"/>
          <w:sz w:val="17"/>
          <w:szCs w:val="17"/>
          <w:u w:val="single" w:color="auto"/>
          <w:color w:val="auto"/>
        </w:rPr>
        <w:t>COO</w:t>
      </w:r>
      <w:r>
        <w:rPr>
          <w:rFonts w:ascii="Arial" w:cs="Arial" w:eastAsia="Arial" w:hAnsi="Arial"/>
          <w:sz w:val="17"/>
          <w:szCs w:val="17"/>
          <w:color w:val="auto"/>
        </w:rPr>
        <w:t>”). During Executive’s employment with the Company, Executive shall report directly to the COO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69" w:lineRule="exact"/>
        <w:rPr>
          <w:rFonts w:ascii="Arial" w:cs="Arial" w:eastAsia="Arial" w:hAnsi="Arial"/>
          <w:sz w:val="17"/>
          <w:szCs w:val="17"/>
          <w:b w:val="1"/>
          <w:bCs w:val="1"/>
          <w:color w:val="auto"/>
        </w:rPr>
      </w:pPr>
    </w:p>
    <w:p>
      <w:pPr>
        <w:ind w:right="80" w:firstLine="987"/>
        <w:spacing w:after="0" w:line="254" w:lineRule="auto"/>
        <w:tabs>
          <w:tab w:leader="none" w:pos="1236" w:val="left"/>
        </w:tabs>
        <w:numPr>
          <w:ilvl w:val="1"/>
          <w:numId w:val="304"/>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Executive’s Duties</w:t>
      </w:r>
      <w:r>
        <w:rPr>
          <w:rFonts w:ascii="Arial" w:cs="Arial" w:eastAsia="Arial" w:hAnsi="Arial"/>
          <w:sz w:val="18"/>
          <w:szCs w:val="18"/>
          <w:color w:val="auto"/>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COO; provided that nothing herein shall preclude Executive from, subject to prior consent of the COO: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 do not individually or in the aggregate interfere with the performance of Executive’s duties under this Agreement, violate the Company’s standards of conduct then in effect or raise a conflict under the Company’s conflict of interest policies.</w:t>
      </w:r>
    </w:p>
    <w:p>
      <w:pPr>
        <w:sectPr>
          <w:pgSz w:w="11900" w:h="16838" w:orient="portrait"/>
          <w:cols w:equalWidth="0" w:num="1">
            <w:col w:w="11020"/>
          </w:cols>
          <w:pgMar w:left="440" w:top="125" w:right="439" w:bottom="1440" w:gutter="0" w:footer="0" w:header="0"/>
        </w:sectPr>
      </w:pPr>
    </w:p>
    <w:bookmarkStart w:id="371" w:name="page372"/>
    <w:bookmarkEnd w:id="371"/>
    <w:p>
      <w:pPr>
        <w:ind w:left="-20" w:right="60" w:firstLine="436"/>
        <w:spacing w:after="0" w:line="266" w:lineRule="auto"/>
        <w:tabs>
          <w:tab w:leader="none" w:pos="60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r>
        <w:rPr>
          <w:rFonts w:ascii="Arial" w:cs="Arial" w:eastAsia="Arial" w:hAnsi="Arial"/>
          <w:sz w:val="18"/>
          <w:szCs w:val="18"/>
          <w:color w:val="auto"/>
        </w:rPr>
        <w:t>. The period of Executive’s employment under this Agreement shall commence on the Effective Date and shall continue until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The phrase “</w:t>
      </w:r>
      <w:r>
        <w:rPr>
          <w:rFonts w:ascii="Arial" w:cs="Arial" w:eastAsia="Arial" w:hAnsi="Arial"/>
          <w:sz w:val="18"/>
          <w:szCs w:val="18"/>
          <w:u w:val="single" w:color="auto"/>
          <w:color w:val="auto"/>
        </w:rPr>
        <w:t>Term of Employment</w:t>
      </w:r>
      <w:r>
        <w:rPr>
          <w:rFonts w:ascii="Arial" w:cs="Arial" w:eastAsia="Arial" w:hAnsi="Arial"/>
          <w:sz w:val="18"/>
          <w:szCs w:val="18"/>
          <w:color w:val="auto"/>
        </w:rPr>
        <w:t>” as used in this Agreement shall refer to the entire period of employment of Executive by the Company.</w:t>
      </w:r>
    </w:p>
    <w:p>
      <w:pPr>
        <w:spacing w:after="0" w:line="67" w:lineRule="exact"/>
        <w:rPr>
          <w:rFonts w:ascii="Arial" w:cs="Arial" w:eastAsia="Arial" w:hAnsi="Arial"/>
          <w:sz w:val="18"/>
          <w:szCs w:val="18"/>
          <w:b w:val="1"/>
          <w:bCs w:val="1"/>
          <w:color w:val="auto"/>
        </w:rPr>
      </w:pPr>
    </w:p>
    <w:p>
      <w:pPr>
        <w:ind w:left="600" w:hanging="184"/>
        <w:spacing w:after="0"/>
        <w:tabs>
          <w:tab w:leader="none" w:pos="60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987"/>
        <w:spacing w:after="0" w:line="279" w:lineRule="auto"/>
        <w:tabs>
          <w:tab w:leader="none" w:pos="1226" w:val="left"/>
        </w:tabs>
        <w:numPr>
          <w:ilvl w:val="1"/>
          <w:numId w:val="305"/>
        </w:numPr>
        <w:rPr>
          <w:rFonts w:ascii="Arial" w:cs="Arial" w:eastAsia="Arial" w:hAnsi="Arial"/>
          <w:sz w:val="17"/>
          <w:szCs w:val="17"/>
          <w:b w:val="1"/>
          <w:bCs w:val="1"/>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Executive shall receive a base salary at the rate of $332,500 per annum (as may be increased from time to time,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 subject to withholdings and deductions, which shall be paid to Executive in accordance with the customary payroll practices and procedures of the Company. Such Annual Base Salary shall be reviewed by the COO, and as applicable,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not less than annually, and may be increased, but not decreased, in connection with any such review.</w:t>
      </w:r>
    </w:p>
    <w:p>
      <w:pPr>
        <w:spacing w:after="0" w:line="63" w:lineRule="exact"/>
        <w:rPr>
          <w:rFonts w:ascii="Arial" w:cs="Arial" w:eastAsia="Arial" w:hAnsi="Arial"/>
          <w:sz w:val="17"/>
          <w:szCs w:val="17"/>
          <w:b w:val="1"/>
          <w:bCs w:val="1"/>
          <w:color w:val="auto"/>
        </w:rPr>
      </w:pPr>
    </w:p>
    <w:p>
      <w:pPr>
        <w:jc w:val="both"/>
        <w:ind w:left="-20" w:right="100" w:firstLine="987"/>
        <w:spacing w:after="0" w:line="259" w:lineRule="auto"/>
        <w:tabs>
          <w:tab w:leader="none" w:pos="1236" w:val="left"/>
        </w:tabs>
        <w:numPr>
          <w:ilvl w:val="1"/>
          <w:numId w:val="305"/>
        </w:numPr>
        <w:rPr>
          <w:rFonts w:ascii="Arial" w:cs="Arial" w:eastAsia="Arial" w:hAnsi="Arial"/>
          <w:sz w:val="18"/>
          <w:szCs w:val="18"/>
          <w:b w:val="1"/>
          <w:bCs w:val="1"/>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Executive shall be eligible to receive a discretionary annual bonus based on Executive’s achievement of performance objectives as mutually agreed between Executive and the COO, such bonus target to be equal to 30% of Executive’s Annual Base Salary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Any Annual Bonus earned will be paid at the same time annual bonuses are paid to other executives of the Company generally, subject to any limitations on payment as set forth in Section 6.</w:t>
      </w:r>
    </w:p>
    <w:p>
      <w:pPr>
        <w:spacing w:after="0" w:line="78" w:lineRule="exact"/>
        <w:rPr>
          <w:rFonts w:ascii="Arial" w:cs="Arial" w:eastAsia="Arial" w:hAnsi="Arial"/>
          <w:sz w:val="18"/>
          <w:szCs w:val="18"/>
          <w:b w:val="1"/>
          <w:bCs w:val="1"/>
          <w:color w:val="auto"/>
        </w:rPr>
      </w:pPr>
    </w:p>
    <w:p>
      <w:pPr>
        <w:ind w:left="-20" w:right="160" w:firstLine="987"/>
        <w:spacing w:after="0" w:line="286" w:lineRule="auto"/>
        <w:tabs>
          <w:tab w:leader="none" w:pos="1216" w:val="left"/>
        </w:tabs>
        <w:numPr>
          <w:ilvl w:val="1"/>
          <w:numId w:val="305"/>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57" w:lineRule="exact"/>
        <w:rPr>
          <w:rFonts w:ascii="Arial" w:cs="Arial" w:eastAsia="Arial" w:hAnsi="Arial"/>
          <w:sz w:val="17"/>
          <w:szCs w:val="17"/>
          <w:b w:val="1"/>
          <w:bCs w:val="1"/>
          <w:color w:val="auto"/>
        </w:rPr>
      </w:pPr>
    </w:p>
    <w:p>
      <w:pPr>
        <w:ind w:left="-20" w:right="180" w:firstLine="987"/>
        <w:spacing w:after="0" w:line="259" w:lineRule="auto"/>
        <w:tabs>
          <w:tab w:leader="none" w:pos="1236" w:val="left"/>
        </w:tabs>
        <w:numPr>
          <w:ilvl w:val="1"/>
          <w:numId w:val="305"/>
        </w:numPr>
        <w:rPr>
          <w:rFonts w:ascii="Arial" w:cs="Arial" w:eastAsia="Arial" w:hAnsi="Arial"/>
          <w:sz w:val="18"/>
          <w:szCs w:val="18"/>
          <w:b w:val="1"/>
          <w:bCs w:val="1"/>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The Company will also cover the expense of travel, room and board when working from Company headquarters in Carlsbad, CA.</w:t>
      </w:r>
    </w:p>
    <w:p>
      <w:pPr>
        <w:spacing w:after="0" w:line="78" w:lineRule="exact"/>
        <w:rPr>
          <w:rFonts w:ascii="Arial" w:cs="Arial" w:eastAsia="Arial" w:hAnsi="Arial"/>
          <w:sz w:val="18"/>
          <w:szCs w:val="18"/>
          <w:b w:val="1"/>
          <w:bCs w:val="1"/>
          <w:color w:val="auto"/>
        </w:rPr>
      </w:pPr>
    </w:p>
    <w:p>
      <w:pPr>
        <w:ind w:left="1220" w:hanging="253"/>
        <w:spacing w:after="0"/>
        <w:tabs>
          <w:tab w:leader="none" w:pos="1220" w:val="left"/>
        </w:tabs>
        <w:numPr>
          <w:ilvl w:val="1"/>
          <w:numId w:val="305"/>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vacation, which may be taken in accordance with the Company’s vacation policy.</w:t>
      </w:r>
    </w:p>
    <w:p>
      <w:pPr>
        <w:spacing w:after="0" w:line="117" w:lineRule="exact"/>
        <w:rPr>
          <w:rFonts w:ascii="Arial" w:cs="Arial" w:eastAsia="Arial" w:hAnsi="Arial"/>
          <w:sz w:val="18"/>
          <w:szCs w:val="18"/>
          <w:b w:val="1"/>
          <w:bCs w:val="1"/>
          <w:color w:val="auto"/>
        </w:rPr>
      </w:pPr>
    </w:p>
    <w:p>
      <w:pPr>
        <w:ind w:left="1200" w:hanging="233"/>
        <w:spacing w:after="0"/>
        <w:tabs>
          <w:tab w:leader="none" w:pos="1200" w:val="left"/>
        </w:tabs>
        <w:numPr>
          <w:ilvl w:val="1"/>
          <w:numId w:val="305"/>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shall be eligible to receive grants of equity awards in the Company’s sole discretion.</w:t>
      </w:r>
    </w:p>
    <w:p>
      <w:pPr>
        <w:spacing w:after="0" w:line="117" w:lineRule="exact"/>
        <w:rPr>
          <w:rFonts w:ascii="Arial" w:cs="Arial" w:eastAsia="Arial" w:hAnsi="Arial"/>
          <w:sz w:val="18"/>
          <w:szCs w:val="18"/>
          <w:b w:val="1"/>
          <w:bCs w:val="1"/>
          <w:color w:val="auto"/>
        </w:rPr>
      </w:pPr>
    </w:p>
    <w:p>
      <w:pPr>
        <w:jc w:val="both"/>
        <w:ind w:left="-20" w:right="40" w:firstLine="987"/>
        <w:spacing w:after="0" w:line="263" w:lineRule="auto"/>
        <w:tabs>
          <w:tab w:leader="none" w:pos="1226" w:val="left"/>
        </w:tabs>
        <w:numPr>
          <w:ilvl w:val="1"/>
          <w:numId w:val="305"/>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Agreement; Insurance</w:t>
      </w:r>
      <w:r>
        <w:rPr>
          <w:rFonts w:ascii="Arial" w:cs="Arial" w:eastAsia="Arial" w:hAnsi="Arial"/>
          <w:sz w:val="18"/>
          <w:szCs w:val="18"/>
          <w:color w:val="auto"/>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0" w:right="479" w:bottom="1440" w:gutter="0" w:footer="0" w:header="0"/>
        </w:sectPr>
      </w:pPr>
    </w:p>
    <w:bookmarkStart w:id="372" w:name="page373"/>
    <w:bookmarkEnd w:id="372"/>
    <w:p>
      <w:pPr>
        <w:ind w:left="4" w:right="40" w:firstLine="436"/>
        <w:spacing w:after="0" w:line="270" w:lineRule="auto"/>
        <w:tabs>
          <w:tab w:leader="none" w:pos="624" w:val="left"/>
        </w:tabs>
        <w:numPr>
          <w:ilvl w:val="1"/>
          <w:numId w:val="3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Acceleration of Equity Awards Upon a Change in Control</w:t>
      </w:r>
      <w:r>
        <w:rPr>
          <w:rFonts w:ascii="Arial" w:cs="Arial" w:eastAsia="Arial" w:hAnsi="Arial"/>
          <w:sz w:val="17"/>
          <w:szCs w:val="17"/>
          <w:color w:val="auto"/>
        </w:rPr>
        <w:t>. Notwithstanding anything herein to the contrary, in the event of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vesting of Executive’s then outstanding options, restricted stock and other equity awards covering shares of the Company’s common stock (collectively, “</w:t>
      </w:r>
      <w:r>
        <w:rPr>
          <w:rFonts w:ascii="Arial" w:cs="Arial" w:eastAsia="Arial" w:hAnsi="Arial"/>
          <w:sz w:val="17"/>
          <w:szCs w:val="17"/>
          <w:u w:val="single" w:color="auto"/>
          <w:color w:val="auto"/>
        </w:rPr>
        <w:t>Equity Awards</w:t>
      </w:r>
      <w:r>
        <w:rPr>
          <w:rFonts w:ascii="Arial" w:cs="Arial" w:eastAsia="Arial" w:hAnsi="Arial"/>
          <w:sz w:val="17"/>
          <w:szCs w:val="17"/>
          <w:color w:val="auto"/>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68" w:lineRule="exact"/>
        <w:rPr>
          <w:rFonts w:ascii="Arial" w:cs="Arial" w:eastAsia="Arial" w:hAnsi="Arial"/>
          <w:sz w:val="17"/>
          <w:szCs w:val="17"/>
          <w:b w:val="1"/>
          <w:bCs w:val="1"/>
          <w:color w:val="auto"/>
        </w:rPr>
      </w:pPr>
    </w:p>
    <w:p>
      <w:pPr>
        <w:ind w:left="624" w:hanging="184"/>
        <w:spacing w:after="0"/>
        <w:tabs>
          <w:tab w:leader="none" w:pos="62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290" w:lineRule="auto"/>
        <w:tabs>
          <w:tab w:leader="none" w:pos="1250" w:val="left"/>
        </w:tabs>
        <w:numPr>
          <w:ilvl w:val="2"/>
          <w:numId w:val="306"/>
        </w:numPr>
        <w:rPr>
          <w:rFonts w:ascii="Arial" w:cs="Arial" w:eastAsia="Arial" w:hAnsi="Arial"/>
          <w:sz w:val="16"/>
          <w:szCs w:val="16"/>
          <w:b w:val="1"/>
          <w:bCs w:val="1"/>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COO. If Executive’s employment terminates for any lawful reason, Executive shall not be entitled to any payments, benefits, Equity Awards or other compensation other than as provided in this Agreement.</w:t>
      </w:r>
    </w:p>
    <w:p>
      <w:pPr>
        <w:spacing w:after="0" w:line="57" w:lineRule="exact"/>
        <w:rPr>
          <w:rFonts w:ascii="Arial" w:cs="Arial" w:eastAsia="Arial" w:hAnsi="Arial"/>
          <w:sz w:val="16"/>
          <w:szCs w:val="16"/>
          <w:b w:val="1"/>
          <w:bCs w:val="1"/>
          <w:color w:val="auto"/>
        </w:rPr>
      </w:pPr>
    </w:p>
    <w:p>
      <w:pPr>
        <w:ind w:left="4" w:right="20" w:firstLine="987"/>
        <w:spacing w:after="0" w:line="291" w:lineRule="auto"/>
        <w:tabs>
          <w:tab w:leader="none" w:pos="1260" w:val="left"/>
        </w:tabs>
        <w:numPr>
          <w:ilvl w:val="2"/>
          <w:numId w:val="306"/>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During the Term of Employment, any termination of Executive’s employment by the Company or by Executive (other than by reason of death) shall be communicated by written notice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from one Party hereto to the other Party hereto</w:t>
      </w:r>
    </w:p>
    <w:p>
      <w:pPr>
        <w:ind w:left="4" w:hanging="4"/>
        <w:spacing w:after="0" w:line="269" w:lineRule="auto"/>
        <w:tabs>
          <w:tab w:leader="none" w:pos="219"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72" w:lineRule="exact"/>
        <w:rPr>
          <w:rFonts w:ascii="Arial" w:cs="Arial" w:eastAsia="Arial" w:hAnsi="Arial"/>
          <w:sz w:val="17"/>
          <w:szCs w:val="17"/>
          <w:color w:val="auto"/>
        </w:rPr>
      </w:pPr>
    </w:p>
    <w:p>
      <w:pPr>
        <w:ind w:left="4" w:right="220" w:firstLine="987"/>
        <w:spacing w:after="0" w:line="263" w:lineRule="auto"/>
        <w:tabs>
          <w:tab w:leader="none" w:pos="1240" w:val="left"/>
        </w:tabs>
        <w:numPr>
          <w:ilvl w:val="2"/>
          <w:numId w:val="307"/>
        </w:numPr>
        <w:rPr>
          <w:rFonts w:ascii="Arial" w:cs="Arial" w:eastAsia="Arial" w:hAnsi="Arial"/>
          <w:sz w:val="18"/>
          <w:szCs w:val="18"/>
          <w:b w:val="1"/>
          <w:bCs w:val="1"/>
          <w:color w:val="auto"/>
        </w:rPr>
      </w:pPr>
      <w:r>
        <w:rPr>
          <w:rFonts w:ascii="Arial" w:cs="Arial" w:eastAsia="Arial" w:hAnsi="Arial"/>
          <w:sz w:val="18"/>
          <w:szCs w:val="18"/>
          <w:u w:val="single" w:color="auto"/>
          <w:color w:val="auto"/>
        </w:rPr>
        <w:t>Deemed Resignation</w:t>
      </w:r>
      <w:r>
        <w:rPr>
          <w:rFonts w:ascii="Arial" w:cs="Arial" w:eastAsia="Arial" w:hAnsi="Arial"/>
          <w:sz w:val="18"/>
          <w:szCs w:val="18"/>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73" w:name="page374"/>
    <w:bookmarkEnd w:id="373"/>
    <w:p>
      <w:pPr>
        <w:ind w:left="624" w:hanging="184"/>
        <w:spacing w:after="0"/>
        <w:tabs>
          <w:tab w:leader="none" w:pos="624"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60" w:firstLine="987"/>
        <w:spacing w:after="0" w:line="311" w:lineRule="auto"/>
        <w:tabs>
          <w:tab w:leader="none" w:pos="1250" w:val="left"/>
        </w:tabs>
        <w:numPr>
          <w:ilvl w:val="2"/>
          <w:numId w:val="308"/>
        </w:numPr>
        <w:rPr>
          <w:rFonts w:ascii="Arial" w:cs="Arial" w:eastAsia="Arial" w:hAnsi="Arial"/>
          <w:sz w:val="16"/>
          <w:szCs w:val="16"/>
          <w:b w:val="1"/>
          <w:bCs w:val="1"/>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the event Executive’s employment with the Company terminates pursuant to Section 5, then Executive shall be entitled to the applicable payments and benefits set forth below subject to Executive delivering to the Company a waiver and release of claims agreement in standard reasonable form approved by the Company that becomes effective and irrevocable in accordance with Section 7 hereof (a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40" w:lineRule="exact"/>
        <w:rPr>
          <w:rFonts w:ascii="Arial" w:cs="Arial" w:eastAsia="Arial" w:hAnsi="Arial"/>
          <w:sz w:val="16"/>
          <w:szCs w:val="16"/>
          <w:b w:val="1"/>
          <w:bCs w:val="1"/>
          <w:color w:val="auto"/>
        </w:rPr>
      </w:pPr>
    </w:p>
    <w:p>
      <w:pPr>
        <w:ind w:left="4" w:right="40" w:firstLine="987"/>
        <w:spacing w:after="0" w:line="285" w:lineRule="auto"/>
        <w:tabs>
          <w:tab w:leader="none" w:pos="1260" w:val="left"/>
        </w:tabs>
        <w:numPr>
          <w:ilvl w:val="2"/>
          <w:numId w:val="308"/>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Payments upon Termination by the Company for Cause or by Executive Without Good Reason</w:t>
      </w:r>
      <w:r>
        <w:rPr>
          <w:rFonts w:ascii="Arial" w:cs="Arial" w:eastAsia="Arial" w:hAnsi="Arial"/>
          <w:sz w:val="16"/>
          <w:szCs w:val="16"/>
          <w:color w:val="auto"/>
        </w:rPr>
        <w:t>. Upon a termination of Executive’s employment with the Company at any time for Cause, Executive (or Executive’s estate or legal representative, as applicable) shall be entitled to receive, within thirty (30) days of the effective date of termination of employment with the Company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3(e) above; and</w:t>
      </w:r>
    </w:p>
    <w:p>
      <w:pPr>
        <w:spacing w:after="0" w:line="1" w:lineRule="exact"/>
        <w:rPr>
          <w:rFonts w:ascii="Arial" w:cs="Arial" w:eastAsia="Arial" w:hAnsi="Arial"/>
          <w:sz w:val="16"/>
          <w:szCs w:val="16"/>
          <w:b w:val="1"/>
          <w:bCs w:val="1"/>
          <w:color w:val="auto"/>
        </w:rPr>
      </w:pPr>
    </w:p>
    <w:p>
      <w:pPr>
        <w:ind w:left="4" w:right="40" w:hanging="4"/>
        <w:spacing w:after="0" w:line="252" w:lineRule="auto"/>
        <w:tabs>
          <w:tab w:leader="none" w:pos="31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accrued but unused paid time-off owed to Executive ((i)-(iii) defined as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 Any termination of employment by Executive without Good Reason shall be deemed, and shall be treated as, a termination for “Cause”, and accordingly, the Company shall only be obligated to pay to Executive the amounts described in this Section 6(b).</w:t>
      </w:r>
    </w:p>
    <w:p>
      <w:pPr>
        <w:spacing w:after="0" w:line="85" w:lineRule="exact"/>
        <w:rPr>
          <w:rFonts w:ascii="Arial" w:cs="Arial" w:eastAsia="Arial" w:hAnsi="Arial"/>
          <w:sz w:val="18"/>
          <w:szCs w:val="18"/>
          <w:color w:val="auto"/>
        </w:rPr>
      </w:pPr>
    </w:p>
    <w:p>
      <w:pPr>
        <w:ind w:left="4" w:right="580" w:firstLine="987"/>
        <w:spacing w:after="0" w:line="342" w:lineRule="auto"/>
        <w:tabs>
          <w:tab w:leader="none" w:pos="1240" w:val="left"/>
        </w:tabs>
        <w:numPr>
          <w:ilvl w:val="2"/>
          <w:numId w:val="309"/>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Outside a Change in Control Period</w:t>
      </w:r>
      <w:r>
        <w:rPr>
          <w:rFonts w:ascii="Arial" w:cs="Arial" w:eastAsia="Arial" w:hAnsi="Arial"/>
          <w:sz w:val="16"/>
          <w:szCs w:val="16"/>
          <w:color w:val="auto"/>
        </w:rPr>
        <w:t>. If, outside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4" w:hanging="212"/>
        <w:spacing w:after="0"/>
        <w:tabs>
          <w:tab w:leader="none" w:pos="1644" w:val="left"/>
        </w:tabs>
        <w:numPr>
          <w:ilvl w:val="3"/>
          <w:numId w:val="309"/>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4" w:right="360" w:firstLine="1428"/>
        <w:spacing w:after="0" w:line="277" w:lineRule="auto"/>
        <w:tabs>
          <w:tab w:leader="none" w:pos="1701" w:val="left"/>
        </w:tabs>
        <w:numPr>
          <w:ilvl w:val="3"/>
          <w:numId w:val="309"/>
        </w:numPr>
        <w:rPr>
          <w:rFonts w:ascii="Arial" w:cs="Arial" w:eastAsia="Arial" w:hAnsi="Arial"/>
          <w:sz w:val="18"/>
          <w:szCs w:val="18"/>
          <w:b w:val="1"/>
          <w:bCs w:val="1"/>
          <w:color w:val="auto"/>
        </w:rPr>
      </w:pPr>
      <w:r>
        <w:rPr>
          <w:rFonts w:ascii="Arial" w:cs="Arial" w:eastAsia="Arial" w:hAnsi="Arial"/>
          <w:sz w:val="18"/>
          <w:szCs w:val="18"/>
          <w:color w:val="auto"/>
        </w:rPr>
        <w:t>an amount in cash equal to (A) twelve months of Executive’s Annual Base Salary plus (B) Executive’s target Annual Bonus, pro-rated based on the total number of days elapsed in the calendar year as of Executive’s Date of Termination;</w:t>
      </w:r>
    </w:p>
    <w:p>
      <w:pPr>
        <w:spacing w:after="0" w:line="62" w:lineRule="exact"/>
        <w:rPr>
          <w:rFonts w:ascii="Arial" w:cs="Arial" w:eastAsia="Arial" w:hAnsi="Arial"/>
          <w:sz w:val="18"/>
          <w:szCs w:val="18"/>
          <w:b w:val="1"/>
          <w:bCs w:val="1"/>
          <w:color w:val="auto"/>
        </w:rPr>
      </w:pPr>
    </w:p>
    <w:p>
      <w:pPr>
        <w:jc w:val="both"/>
        <w:ind w:left="4" w:firstLine="1428"/>
        <w:spacing w:after="0" w:line="263" w:lineRule="auto"/>
        <w:tabs>
          <w:tab w:leader="none" w:pos="1751" w:val="left"/>
        </w:tabs>
        <w:numPr>
          <w:ilvl w:val="3"/>
          <w:numId w:val="309"/>
        </w:numPr>
        <w:rPr>
          <w:rFonts w:ascii="Arial" w:cs="Arial" w:eastAsia="Arial" w:hAnsi="Arial"/>
          <w:sz w:val="18"/>
          <w:szCs w:val="18"/>
          <w:b w:val="1"/>
          <w:bCs w:val="1"/>
          <w:color w:val="auto"/>
        </w:rPr>
      </w:pPr>
      <w:r>
        <w:rPr>
          <w:rFonts w:ascii="Arial" w:cs="Arial" w:eastAsia="Arial" w:hAnsi="Arial"/>
          <w:sz w:val="18"/>
          <w:szCs w:val="18"/>
          <w:color w:val="auto"/>
        </w:rPr>
        <w:t>fifty percent (50%) of the unvested Equity Awards held by the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left="4" w:right="20" w:firstLine="1428"/>
        <w:spacing w:after="0" w:line="259" w:lineRule="auto"/>
        <w:tabs>
          <w:tab w:leader="none" w:pos="1741" w:val="left"/>
        </w:tabs>
        <w:numPr>
          <w:ilvl w:val="3"/>
          <w:numId w:val="309"/>
        </w:numPr>
        <w:rPr>
          <w:rFonts w:ascii="Arial" w:cs="Arial" w:eastAsia="Arial" w:hAnsi="Arial"/>
          <w:sz w:val="18"/>
          <w:szCs w:val="18"/>
          <w:b w:val="1"/>
          <w:bCs w:val="1"/>
          <w:color w:val="auto"/>
        </w:rPr>
      </w:pPr>
      <w:r>
        <w:rPr>
          <w:rFonts w:ascii="Arial" w:cs="Arial" w:eastAsia="Arial" w:hAnsi="Arial"/>
          <w:sz w:val="18"/>
          <w:szCs w:val="18"/>
          <w:color w:val="auto"/>
        </w:rPr>
        <w:t>during the period commencing on the Date of Termination and ending on the six-month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thereunder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74" w:name="page375"/>
    <w:bookmarkEnd w:id="374"/>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Arial" w:cs="Arial" w:eastAsia="Arial" w:hAnsi="Arial"/>
          <w:sz w:val="16"/>
          <w:szCs w:val="16"/>
          <w:u w:val="single" w:color="auto"/>
          <w:color w:val="auto"/>
        </w:rPr>
        <w:t>Benefits Coverage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57" w:lineRule="exact"/>
        <w:rPr>
          <w:sz w:val="20"/>
          <w:szCs w:val="20"/>
          <w:color w:val="auto"/>
        </w:rPr>
      </w:pPr>
    </w:p>
    <w:p>
      <w:pPr>
        <w:ind w:right="660" w:firstLine="987"/>
        <w:spacing w:after="0" w:line="342" w:lineRule="auto"/>
        <w:tabs>
          <w:tab w:leader="none" w:pos="1256" w:val="left"/>
        </w:tabs>
        <w:numPr>
          <w:ilvl w:val="0"/>
          <w:numId w:val="310"/>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Payments upon Involuntary Termination During a Change in Control Period</w:t>
      </w:r>
      <w:r>
        <w:rPr>
          <w:rFonts w:ascii="Arial" w:cs="Arial" w:eastAsia="Arial" w:hAnsi="Arial"/>
          <w:sz w:val="16"/>
          <w:szCs w:val="16"/>
          <w:color w:val="auto"/>
        </w:rPr>
        <w:t>. If, during a Change in Control Period, Executive’s employment is terminated due to an Involuntary Termination, the Company shall provide the following payments and benefits:</w:t>
      </w:r>
    </w:p>
    <w:p>
      <w:pPr>
        <w:spacing w:after="0" w:line="15" w:lineRule="exact"/>
        <w:rPr>
          <w:rFonts w:ascii="Arial" w:cs="Arial" w:eastAsia="Arial" w:hAnsi="Arial"/>
          <w:sz w:val="16"/>
          <w:szCs w:val="16"/>
          <w:b w:val="1"/>
          <w:bCs w:val="1"/>
          <w:color w:val="auto"/>
        </w:rPr>
      </w:pPr>
    </w:p>
    <w:p>
      <w:pPr>
        <w:ind w:left="1640" w:hanging="212"/>
        <w:spacing w:after="0"/>
        <w:tabs>
          <w:tab w:leader="none" w:pos="164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b w:val="1"/>
          <w:bCs w:val="1"/>
          <w:color w:val="auto"/>
        </w:rPr>
      </w:pPr>
    </w:p>
    <w:p>
      <w:pPr>
        <w:ind w:left="1700" w:hanging="272"/>
        <w:spacing w:after="0"/>
        <w:tabs>
          <w:tab w:leader="none" w:pos="1700" w:val="left"/>
        </w:tabs>
        <w:numPr>
          <w:ilvl w:val="1"/>
          <w:numId w:val="310"/>
        </w:numPr>
        <w:rPr>
          <w:rFonts w:ascii="Arial" w:cs="Arial" w:eastAsia="Arial" w:hAnsi="Arial"/>
          <w:sz w:val="16"/>
          <w:szCs w:val="16"/>
          <w:b w:val="1"/>
          <w:bCs w:val="1"/>
          <w:color w:val="auto"/>
        </w:rPr>
      </w:pPr>
      <w:r>
        <w:rPr>
          <w:rFonts w:ascii="Arial" w:cs="Arial" w:eastAsia="Arial" w:hAnsi="Arial"/>
          <w:sz w:val="16"/>
          <w:szCs w:val="16"/>
          <w:color w:val="auto"/>
        </w:rPr>
        <w:t>an amount in cash equal to (A) eighteen months of Executive’s Annual Base Salary plus (B) Executive’s target Annual Bonus;</w:t>
      </w:r>
    </w:p>
    <w:p>
      <w:pPr>
        <w:spacing w:after="0" w:line="140" w:lineRule="exact"/>
        <w:rPr>
          <w:rFonts w:ascii="Arial" w:cs="Arial" w:eastAsia="Arial" w:hAnsi="Arial"/>
          <w:sz w:val="16"/>
          <w:szCs w:val="16"/>
          <w:b w:val="1"/>
          <w:bCs w:val="1"/>
          <w:color w:val="auto"/>
        </w:rPr>
      </w:pPr>
    </w:p>
    <w:p>
      <w:pPr>
        <w:jc w:val="both"/>
        <w:ind w:right="120" w:firstLine="1428"/>
        <w:spacing w:after="0" w:line="263" w:lineRule="auto"/>
        <w:tabs>
          <w:tab w:leader="none" w:pos="1747"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one hundred percent (100%) of all unvested Equity Awards held by Executive as of the Date of Termination, will become fully vested and, if applicable, exercisable, and all restrictions and rights of repurchase thereon shall lapse with respect to all of the shares of the Company’s common stock subject thereto; and</w:t>
      </w:r>
    </w:p>
    <w:p>
      <w:pPr>
        <w:spacing w:after="0" w:line="75" w:lineRule="exact"/>
        <w:rPr>
          <w:rFonts w:ascii="Arial" w:cs="Arial" w:eastAsia="Arial" w:hAnsi="Arial"/>
          <w:sz w:val="18"/>
          <w:szCs w:val="18"/>
          <w:b w:val="1"/>
          <w:bCs w:val="1"/>
          <w:color w:val="auto"/>
        </w:rPr>
      </w:pPr>
    </w:p>
    <w:p>
      <w:pPr>
        <w:ind w:firstLine="1428"/>
        <w:spacing w:after="0" w:line="269" w:lineRule="auto"/>
        <w:tabs>
          <w:tab w:leader="none" w:pos="1737" w:val="left"/>
        </w:tabs>
        <w:numPr>
          <w:ilvl w:val="1"/>
          <w:numId w:val="310"/>
        </w:numPr>
        <w:rPr>
          <w:rFonts w:ascii="Arial" w:cs="Arial" w:eastAsia="Arial" w:hAnsi="Arial"/>
          <w:sz w:val="17"/>
          <w:szCs w:val="17"/>
          <w:b w:val="1"/>
          <w:bCs w:val="1"/>
          <w:color w:val="auto"/>
        </w:rPr>
      </w:pPr>
      <w:r>
        <w:rPr>
          <w:rFonts w:ascii="Arial" w:cs="Arial" w:eastAsia="Arial" w:hAnsi="Arial"/>
          <w:sz w:val="17"/>
          <w:szCs w:val="17"/>
          <w:color w:val="auto"/>
        </w:rPr>
        <w:t xml:space="preserve">during the period commencing on the Date of Termination and ending on the first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77" w:lineRule="exact"/>
        <w:rPr>
          <w:rFonts w:ascii="Arial" w:cs="Arial" w:eastAsia="Arial" w:hAnsi="Arial"/>
          <w:sz w:val="17"/>
          <w:szCs w:val="17"/>
          <w:b w:val="1"/>
          <w:bCs w:val="1"/>
          <w:color w:val="auto"/>
        </w:rPr>
      </w:pPr>
    </w:p>
    <w:p>
      <w:pPr>
        <w:ind w:right="80" w:firstLine="987"/>
        <w:spacing w:after="0" w:line="263" w:lineRule="auto"/>
        <w:tabs>
          <w:tab w:leader="none" w:pos="1236" w:val="left"/>
        </w:tabs>
        <w:numPr>
          <w:ilvl w:val="0"/>
          <w:numId w:val="310"/>
        </w:numPr>
        <w:rPr>
          <w:rFonts w:ascii="Arial" w:cs="Arial" w:eastAsia="Arial" w:hAnsi="Arial"/>
          <w:sz w:val="18"/>
          <w:szCs w:val="18"/>
          <w:b w:val="1"/>
          <w:bCs w:val="1"/>
          <w:color w:val="auto"/>
        </w:rPr>
      </w:pPr>
      <w:r>
        <w:rPr>
          <w:rFonts w:ascii="Arial" w:cs="Arial" w:eastAsia="Arial" w:hAnsi="Arial"/>
          <w:sz w:val="18"/>
          <w:szCs w:val="18"/>
          <w:u w:val="single" w:color="auto"/>
          <w:color w:val="auto"/>
        </w:rPr>
        <w:t>No Other Severance</w:t>
      </w:r>
      <w:r>
        <w:rPr>
          <w:rFonts w:ascii="Arial" w:cs="Arial" w:eastAsia="Arial" w:hAnsi="Arial"/>
          <w:sz w:val="18"/>
          <w:szCs w:val="18"/>
          <w:color w:val="auto"/>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75" w:name="page376"/>
    <w:bookmarkEnd w:id="375"/>
    <w:p>
      <w:pPr>
        <w:ind w:right="180" w:firstLine="987"/>
        <w:spacing w:after="0" w:line="263" w:lineRule="auto"/>
        <w:tabs>
          <w:tab w:leader="none" w:pos="1216" w:val="left"/>
        </w:tabs>
        <w:numPr>
          <w:ilvl w:val="1"/>
          <w:numId w:val="31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71" w:lineRule="exact"/>
        <w:rPr>
          <w:rFonts w:ascii="Arial" w:cs="Arial" w:eastAsia="Arial" w:hAnsi="Arial"/>
          <w:sz w:val="18"/>
          <w:szCs w:val="18"/>
          <w:b w:val="1"/>
          <w:bCs w:val="1"/>
          <w:color w:val="auto"/>
        </w:rPr>
      </w:pPr>
    </w:p>
    <w:p>
      <w:pPr>
        <w:ind w:firstLine="436"/>
        <w:spacing w:after="0" w:line="286" w:lineRule="auto"/>
        <w:tabs>
          <w:tab w:leader="none" w:pos="620"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Notwithstanding anything to the contrary in this Agreement, any payments or other benefits due under this Agreement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are subject to Executive’s execution and delivery of a Release, (a) the Company shall deliver the Release to Executive within ten (10) business days following Executive’s Date of Termination, and the Company’s failure to deliver a Release prior to the expiration of such ten (10) business day period shall constitute a waiver of any requirement to execute a Release, (b) if Executive fails to execute the Release on or prior to the Release Expiration Date (as defined below) or timely revokes Executive’s acceptance of the Release thereafter, Executive shall not be entitled to any payments or benefits otherwise conditioned on the Release, and (c)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(as defined below) shall be made in the later taxable year. For purposes of this Section 7,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(as defined below)) due under this Agreement as a result of Executive’s termination of employment are delayed pursuant to this Section 7, such amounts shall be paid in a lump sum on the first payroll date following the date that Executive executes and does not revoke the Release (and the applicable revocation period has expired) or, in the case of any payments subject to Section 7(c), on the first payroll period to occur in the subsequent taxable year, if later.</w:t>
      </w:r>
    </w:p>
    <w:p>
      <w:pPr>
        <w:spacing w:after="0" w:line="59" w:lineRule="exact"/>
        <w:rPr>
          <w:rFonts w:ascii="Arial" w:cs="Arial" w:eastAsia="Arial" w:hAnsi="Arial"/>
          <w:sz w:val="16"/>
          <w:szCs w:val="16"/>
          <w:b w:val="1"/>
          <w:bCs w:val="1"/>
          <w:color w:val="auto"/>
        </w:rPr>
      </w:pPr>
    </w:p>
    <w:p>
      <w:pPr>
        <w:ind w:firstLine="436"/>
        <w:spacing w:after="0" w:line="294" w:lineRule="auto"/>
        <w:tabs>
          <w:tab w:leader="none" w:pos="620"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color w:val="auto"/>
        </w:rPr>
        <w:t>. For a period of one (1) year following Executive’s Date of Termination, Executive shall not, either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76" w:name="page377"/>
    <w:bookmarkEnd w:id="376"/>
    <w:p>
      <w:pPr>
        <w:ind w:left="624" w:hanging="184"/>
        <w:spacing w:after="0"/>
        <w:tabs>
          <w:tab w:leader="none" w:pos="624"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Golden Parachute Excise Tax</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3" w:lineRule="auto"/>
        <w:tabs>
          <w:tab w:leader="none" w:pos="1250" w:val="left"/>
        </w:tabs>
        <w:numPr>
          <w:ilvl w:val="2"/>
          <w:numId w:val="313"/>
        </w:numPr>
        <w:rPr>
          <w:rFonts w:ascii="Arial" w:cs="Arial" w:eastAsia="Arial" w:hAnsi="Arial"/>
          <w:sz w:val="16"/>
          <w:szCs w:val="16"/>
          <w:b w:val="1"/>
          <w:bCs w:val="1"/>
          <w:color w:val="auto"/>
        </w:rPr>
      </w:pPr>
      <w:r>
        <w:rPr>
          <w:rFonts w:ascii="Arial" w:cs="Arial" w:eastAsia="Arial" w:hAnsi="Arial"/>
          <w:sz w:val="16"/>
          <w:szCs w:val="16"/>
          <w:u w:val="single" w:color="auto"/>
          <w:color w:val="auto"/>
        </w:rPr>
        <w:t>Best Pay</w:t>
      </w:r>
      <w:r>
        <w:rPr>
          <w:rFonts w:ascii="Arial" w:cs="Arial" w:eastAsia="Arial" w:hAnsi="Arial"/>
          <w:sz w:val="16"/>
          <w:szCs w:val="16"/>
          <w:color w:val="auto"/>
        </w:rPr>
        <w:t>. Any provision of this Agreement to the contrary notwithstanding, if any payment or benefit Executive would receive from the Company pursuant to this Agreement or otherwise (“</w:t>
      </w:r>
      <w:r>
        <w:rPr>
          <w:rFonts w:ascii="Arial" w:cs="Arial" w:eastAsia="Arial" w:hAnsi="Arial"/>
          <w:sz w:val="16"/>
          <w:szCs w:val="16"/>
          <w:u w:val="single" w:color="auto"/>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u w:val="single" w:color="auto"/>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u w:val="single" w:color="auto"/>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Arial" w:cs="Arial" w:eastAsia="Arial" w:hAnsi="Arial"/>
          <w:sz w:val="16"/>
          <w:szCs w:val="16"/>
          <w:b w:val="1"/>
          <w:bCs w:val="1"/>
          <w:color w:val="auto"/>
        </w:rPr>
      </w:pPr>
    </w:p>
    <w:p>
      <w:pPr>
        <w:ind w:left="4" w:right="180" w:hanging="4"/>
        <w:spacing w:after="0" w:line="295" w:lineRule="auto"/>
        <w:tabs>
          <w:tab w:leader="none" w:pos="25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53" w:lineRule="exact"/>
        <w:rPr>
          <w:rFonts w:ascii="Arial" w:cs="Arial" w:eastAsia="Arial" w:hAnsi="Arial"/>
          <w:sz w:val="16"/>
          <w:szCs w:val="16"/>
          <w:color w:val="auto"/>
        </w:rPr>
      </w:pPr>
    </w:p>
    <w:p>
      <w:pPr>
        <w:ind w:left="4" w:firstLine="987"/>
        <w:spacing w:after="0" w:line="289" w:lineRule="auto"/>
        <w:tabs>
          <w:tab w:leader="none" w:pos="1260" w:val="left"/>
        </w:tabs>
        <w:numPr>
          <w:ilvl w:val="2"/>
          <w:numId w:val="314"/>
        </w:numPr>
        <w:rPr>
          <w:rFonts w:ascii="Arial" w:cs="Arial" w:eastAsia="Arial" w:hAnsi="Arial"/>
          <w:sz w:val="16"/>
          <w:szCs w:val="16"/>
          <w:b w:val="1"/>
          <w:bCs w:val="1"/>
          <w:color w:val="auto"/>
        </w:rPr>
      </w:pP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engaged by the Company for general tax purposes as of the day prior to the Change in Control will perform the calculations set forth in Section 9(a)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0" w:right="479" w:bottom="1440" w:gutter="0" w:footer="0" w:header="0"/>
        </w:sectPr>
      </w:pPr>
    </w:p>
    <w:bookmarkStart w:id="377" w:name="page378"/>
    <w:bookmarkEnd w:id="377"/>
    <w:p>
      <w:pPr>
        <w:ind w:left="680" w:hanging="264"/>
        <w:spacing w:after="0"/>
        <w:tabs>
          <w:tab w:leader="none" w:pos="68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987"/>
        <w:spacing w:after="0" w:line="269" w:lineRule="auto"/>
        <w:tabs>
          <w:tab w:leader="none" w:pos="1226" w:val="left"/>
        </w:tabs>
        <w:numPr>
          <w:ilvl w:val="1"/>
          <w:numId w:val="315"/>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73" w:lineRule="exact"/>
        <w:rPr>
          <w:rFonts w:ascii="Arial" w:cs="Arial" w:eastAsia="Arial" w:hAnsi="Arial"/>
          <w:sz w:val="17"/>
          <w:szCs w:val="17"/>
          <w:b w:val="1"/>
          <w:bCs w:val="1"/>
          <w:color w:val="auto"/>
        </w:rPr>
      </w:pPr>
    </w:p>
    <w:p>
      <w:pPr>
        <w:ind w:left="-20" w:right="100" w:firstLine="987"/>
        <w:spacing w:after="0" w:line="290" w:lineRule="auto"/>
        <w:tabs>
          <w:tab w:leader="none" w:pos="1236" w:val="left"/>
        </w:tabs>
        <w:numPr>
          <w:ilvl w:val="1"/>
          <w:numId w:val="315"/>
        </w:numPr>
        <w:rPr>
          <w:rFonts w:ascii="Arial" w:cs="Arial" w:eastAsia="Arial" w:hAnsi="Arial"/>
          <w:sz w:val="16"/>
          <w:szCs w:val="16"/>
          <w:b w:val="1"/>
          <w:bCs w:val="1"/>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16"/>
          <w:szCs w:val="16"/>
          <w:u w:val="single" w:color="auto"/>
          <w:color w:val="auto"/>
        </w:rPr>
        <w:t>Separation from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57" w:lineRule="exact"/>
        <w:rPr>
          <w:rFonts w:ascii="Arial" w:cs="Arial" w:eastAsia="Arial" w:hAnsi="Arial"/>
          <w:sz w:val="16"/>
          <w:szCs w:val="16"/>
          <w:b w:val="1"/>
          <w:bCs w:val="1"/>
          <w:color w:val="auto"/>
        </w:rPr>
      </w:pPr>
    </w:p>
    <w:p>
      <w:pPr>
        <w:ind w:left="-20" w:right="40" w:firstLine="987"/>
        <w:spacing w:after="0" w:line="291" w:lineRule="auto"/>
        <w:tabs>
          <w:tab w:leader="none" w:pos="1216" w:val="left"/>
        </w:tabs>
        <w:numPr>
          <w:ilvl w:val="1"/>
          <w:numId w:val="315"/>
        </w:numPr>
        <w:rPr>
          <w:rFonts w:ascii="Arial" w:cs="Arial" w:eastAsia="Arial" w:hAnsi="Arial"/>
          <w:sz w:val="16"/>
          <w:szCs w:val="16"/>
          <w:b w:val="1"/>
          <w:bCs w:val="1"/>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54" w:lineRule="exact"/>
        <w:rPr>
          <w:rFonts w:ascii="Arial" w:cs="Arial" w:eastAsia="Arial" w:hAnsi="Arial"/>
          <w:sz w:val="16"/>
          <w:szCs w:val="16"/>
          <w:b w:val="1"/>
          <w:bCs w:val="1"/>
          <w:color w:val="auto"/>
        </w:rPr>
      </w:pPr>
    </w:p>
    <w:p>
      <w:pPr>
        <w:jc w:val="both"/>
        <w:ind w:left="-20" w:right="60" w:firstLine="436"/>
        <w:spacing w:after="0" w:line="266" w:lineRule="auto"/>
        <w:tabs>
          <w:tab w:leader="none" w:pos="68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or other taxes or charges which the Company is required to withhold. The Company shall be entitled to rely on an opinion of counsel if any questions as to the amount or requirement of withholding shall arise.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378" w:name="page379"/>
    <w:bookmarkEnd w:id="378"/>
    <w:p>
      <w:pPr>
        <w:ind w:left="704" w:hanging="264"/>
        <w:spacing w:after="0"/>
        <w:tabs>
          <w:tab w:leader="none" w:pos="704" w:val="left"/>
        </w:tabs>
        <w:numPr>
          <w:ilvl w:val="1"/>
          <w:numId w:val="3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4" w:lineRule="auto"/>
        <w:tabs>
          <w:tab w:leader="none" w:pos="1250" w:val="left"/>
        </w:tabs>
        <w:numPr>
          <w:ilvl w:val="2"/>
          <w:numId w:val="316"/>
        </w:numPr>
        <w:rPr>
          <w:rFonts w:ascii="Arial" w:cs="Arial" w:eastAsia="Arial" w:hAnsi="Arial"/>
          <w:sz w:val="16"/>
          <w:szCs w:val="16"/>
          <w:b w:val="1"/>
          <w:bCs w:val="1"/>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w:t>
      </w:r>
    </w:p>
    <w:p>
      <w:pPr>
        <w:spacing w:after="0" w:line="4" w:lineRule="exact"/>
        <w:rPr>
          <w:rFonts w:ascii="Arial" w:cs="Arial" w:eastAsia="Arial" w:hAnsi="Arial"/>
          <w:sz w:val="16"/>
          <w:szCs w:val="16"/>
          <w:b w:val="1"/>
          <w:bCs w:val="1"/>
          <w:color w:val="auto"/>
        </w:rPr>
      </w:pPr>
    </w:p>
    <w:p>
      <w:pPr>
        <w:ind w:left="4" w:right="340" w:hanging="4"/>
        <w:spacing w:after="0" w:line="277" w:lineRule="auto"/>
        <w:tabs>
          <w:tab w:leader="none" w:pos="249" w:val="left"/>
        </w:tabs>
        <w:numPr>
          <w:ilvl w:val="0"/>
          <w:numId w:val="317"/>
        </w:numPr>
        <w:rPr>
          <w:rFonts w:ascii="Arial" w:cs="Arial" w:eastAsia="Arial" w:hAnsi="Arial"/>
          <w:sz w:val="17"/>
          <w:szCs w:val="17"/>
          <w:color w:val="auto"/>
        </w:rPr>
      </w:pPr>
      <w:r>
        <w:rPr>
          <w:rFonts w:ascii="Arial" w:cs="Arial" w:eastAsia="Arial" w:hAnsi="Arial"/>
          <w:sz w:val="17"/>
          <w:szCs w:val="17"/>
          <w:color w:val="auto"/>
        </w:rPr>
        <w:t>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64" w:lineRule="exact"/>
        <w:rPr>
          <w:rFonts w:ascii="Arial" w:cs="Arial" w:eastAsia="Arial" w:hAnsi="Arial"/>
          <w:sz w:val="17"/>
          <w:szCs w:val="17"/>
          <w:color w:val="auto"/>
        </w:rPr>
      </w:pPr>
    </w:p>
    <w:p>
      <w:pPr>
        <w:ind w:left="4" w:firstLine="987"/>
        <w:spacing w:after="0" w:line="275" w:lineRule="auto"/>
        <w:tabs>
          <w:tab w:leader="none" w:pos="1260" w:val="left"/>
        </w:tabs>
        <w:numPr>
          <w:ilvl w:val="2"/>
          <w:numId w:val="317"/>
        </w:numPr>
        <w:rPr>
          <w:rFonts w:ascii="Arial" w:cs="Arial" w:eastAsia="Arial" w:hAnsi="Arial"/>
          <w:sz w:val="17"/>
          <w:szCs w:val="17"/>
          <w:b w:val="1"/>
          <w:bCs w:val="1"/>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68" w:lineRule="exact"/>
        <w:rPr>
          <w:rFonts w:ascii="Arial" w:cs="Arial" w:eastAsia="Arial" w:hAnsi="Arial"/>
          <w:sz w:val="17"/>
          <w:szCs w:val="17"/>
          <w:b w:val="1"/>
          <w:bCs w:val="1"/>
          <w:color w:val="auto"/>
        </w:rPr>
      </w:pPr>
    </w:p>
    <w:p>
      <w:pPr>
        <w:ind w:left="4" w:right="180" w:firstLine="987"/>
        <w:spacing w:after="0" w:line="259" w:lineRule="auto"/>
        <w:tabs>
          <w:tab w:leader="none" w:pos="1240" w:val="left"/>
        </w:tabs>
        <w:numPr>
          <w:ilvl w:val="2"/>
          <w:numId w:val="317"/>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78" w:lineRule="exact"/>
        <w:rPr>
          <w:rFonts w:ascii="Arial" w:cs="Arial" w:eastAsia="Arial" w:hAnsi="Arial"/>
          <w:sz w:val="18"/>
          <w:szCs w:val="18"/>
          <w:b w:val="1"/>
          <w:bCs w:val="1"/>
          <w:color w:val="auto"/>
        </w:rPr>
      </w:pPr>
    </w:p>
    <w:p>
      <w:pPr>
        <w:ind w:left="4" w:right="920" w:firstLine="987"/>
        <w:spacing w:after="0" w:line="277" w:lineRule="auto"/>
        <w:tabs>
          <w:tab w:leader="none" w:pos="1260" w:val="left"/>
        </w:tabs>
        <w:numPr>
          <w:ilvl w:val="2"/>
          <w:numId w:val="317"/>
        </w:numPr>
        <w:rPr>
          <w:rFonts w:ascii="Arial" w:cs="Arial" w:eastAsia="Arial" w:hAnsi="Arial"/>
          <w:sz w:val="18"/>
          <w:szCs w:val="18"/>
          <w:b w:val="1"/>
          <w:bCs w:val="1"/>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2" w:lineRule="exact"/>
        <w:rPr>
          <w:rFonts w:ascii="Arial" w:cs="Arial" w:eastAsia="Arial" w:hAnsi="Arial"/>
          <w:sz w:val="18"/>
          <w:szCs w:val="18"/>
          <w:b w:val="1"/>
          <w:bCs w:val="1"/>
          <w:color w:val="auto"/>
        </w:rPr>
      </w:pPr>
    </w:p>
    <w:p>
      <w:pPr>
        <w:ind w:left="4" w:right="160" w:firstLine="987"/>
        <w:spacing w:after="0" w:line="273" w:lineRule="auto"/>
        <w:tabs>
          <w:tab w:leader="none" w:pos="1240" w:val="left"/>
        </w:tabs>
        <w:numPr>
          <w:ilvl w:val="2"/>
          <w:numId w:val="317"/>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379" w:name="page380"/>
    <w:bookmarkEnd w:id="379"/>
    <w:p>
      <w:pPr>
        <w:ind w:left="-40" w:right="40" w:firstLine="987"/>
        <w:spacing w:after="0" w:line="269" w:lineRule="auto"/>
        <w:tabs>
          <w:tab w:leader="none" w:pos="1176" w:val="left"/>
        </w:tabs>
        <w:numPr>
          <w:ilvl w:val="0"/>
          <w:numId w:val="318"/>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Arial" w:cs="Arial" w:eastAsia="Arial" w:hAnsi="Arial"/>
          <w:sz w:val="17"/>
          <w:szCs w:val="17"/>
          <w:color w:val="auto"/>
        </w:rPr>
        <w:t xml:space="preserve">. Executive agrees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mutually selected by the Company and Executive. This means that disputes will be decided by an arbitrator rather than a court or jury, and that both Executive and the Company waive their respective rights to a court or jury trial. Judgment on the arbitration award may be entered in any court having jurisdiction. Nothing herein shall prevent either Party from pursuing injunctive relief in court (without having to post a bond) to avoid irreparable harm pending completion of any arbitration. Within twenty (20) days of the conclusion of the arbitration hearing, the arbitrator shall prepare written findings of fact and conclusions of law. Each party shall bear its own costs and attorneys’ fees in connection with arbitration;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pay all costs unique to arbitration, including the arbitrator’s fees and costs, that Executive would not be required to pay if the claim was in court. Executive shall be entitled to recover reasonable attorneys’ fees and costs incurred by Executive in any arbitration Executive initiates to enforce Executive’s rights under this Agreement and in which Executive is deemed to be the prevailing party.</w:t>
      </w:r>
    </w:p>
    <w:p>
      <w:pPr>
        <w:spacing w:after="0" w:line="73" w:lineRule="exact"/>
        <w:rPr>
          <w:rFonts w:ascii="Arial" w:cs="Arial" w:eastAsia="Arial" w:hAnsi="Arial"/>
          <w:sz w:val="17"/>
          <w:szCs w:val="17"/>
          <w:b w:val="1"/>
          <w:bCs w:val="1"/>
          <w:color w:val="auto"/>
        </w:rPr>
      </w:pPr>
    </w:p>
    <w:p>
      <w:pPr>
        <w:ind w:left="-40" w:right="20" w:firstLine="987"/>
        <w:spacing w:after="0" w:line="255" w:lineRule="auto"/>
        <w:tabs>
          <w:tab w:leader="none" w:pos="1206" w:val="left"/>
        </w:tabs>
        <w:numPr>
          <w:ilvl w:val="0"/>
          <w:numId w:val="318"/>
        </w:numPr>
        <w:rPr>
          <w:rFonts w:ascii="Arial" w:cs="Arial" w:eastAsia="Arial" w:hAnsi="Arial"/>
          <w:sz w:val="18"/>
          <w:szCs w:val="18"/>
          <w:b w:val="1"/>
          <w:bCs w:val="1"/>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4" w:lineRule="exact"/>
        <w:rPr>
          <w:rFonts w:ascii="Arial" w:cs="Arial" w:eastAsia="Arial" w:hAnsi="Arial"/>
          <w:sz w:val="18"/>
          <w:szCs w:val="18"/>
          <w:b w:val="1"/>
          <w:bCs w:val="1"/>
          <w:color w:val="auto"/>
        </w:rPr>
      </w:pPr>
    </w:p>
    <w:p>
      <w:pPr>
        <w:ind w:left="-40" w:firstLine="987"/>
        <w:spacing w:after="0" w:line="301" w:lineRule="auto"/>
        <w:tabs>
          <w:tab w:leader="none" w:pos="1216" w:val="left"/>
        </w:tabs>
        <w:numPr>
          <w:ilvl w:val="0"/>
          <w:numId w:val="318"/>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of this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49" w:lineRule="exact"/>
        <w:rPr>
          <w:rFonts w:ascii="Arial" w:cs="Arial" w:eastAsia="Arial" w:hAnsi="Arial"/>
          <w:sz w:val="16"/>
          <w:szCs w:val="16"/>
          <w:b w:val="1"/>
          <w:bCs w:val="1"/>
          <w:color w:val="auto"/>
        </w:rPr>
      </w:pPr>
    </w:p>
    <w:p>
      <w:pPr>
        <w:ind w:left="-40" w:right="120" w:firstLine="987"/>
        <w:spacing w:after="0" w:line="263" w:lineRule="auto"/>
        <w:tabs>
          <w:tab w:leader="none" w:pos="1166" w:val="left"/>
        </w:tabs>
        <w:numPr>
          <w:ilvl w:val="0"/>
          <w:numId w:val="318"/>
        </w:numPr>
        <w:rPr>
          <w:rFonts w:ascii="Arial" w:cs="Arial" w:eastAsia="Arial" w:hAnsi="Arial"/>
          <w:sz w:val="18"/>
          <w:szCs w:val="18"/>
          <w:b w:val="1"/>
          <w:bCs w:val="1"/>
          <w:color w:val="auto"/>
        </w:rPr>
      </w:pPr>
      <w:r>
        <w:rPr>
          <w:rFonts w:ascii="Arial" w:cs="Arial" w:eastAsia="Arial" w:hAnsi="Arial"/>
          <w:sz w:val="18"/>
          <w:szCs w:val="18"/>
          <w:u w:val="single" w:color="auto"/>
          <w:color w:val="auto"/>
        </w:rPr>
        <w:t>Employee Acknowledgement</w:t>
      </w:r>
      <w:r>
        <w:rPr>
          <w:rFonts w:ascii="Arial" w:cs="Arial" w:eastAsia="Arial" w:hAnsi="Arial"/>
          <w:sz w:val="18"/>
          <w:szCs w:val="18"/>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75" w:lineRule="exact"/>
        <w:rPr>
          <w:rFonts w:ascii="Arial" w:cs="Arial" w:eastAsia="Arial" w:hAnsi="Arial"/>
          <w:sz w:val="18"/>
          <w:szCs w:val="18"/>
          <w:b w:val="1"/>
          <w:bCs w:val="1"/>
          <w:color w:val="auto"/>
        </w:rPr>
      </w:pPr>
    </w:p>
    <w:p>
      <w:pPr>
        <w:ind w:left="-40" w:right="380" w:firstLine="987"/>
        <w:spacing w:after="0" w:line="342" w:lineRule="auto"/>
        <w:tabs>
          <w:tab w:leader="none" w:pos="1176" w:val="left"/>
        </w:tabs>
        <w:numPr>
          <w:ilvl w:val="0"/>
          <w:numId w:val="318"/>
        </w:numPr>
        <w:rPr>
          <w:rFonts w:ascii="Arial" w:cs="Arial" w:eastAsia="Arial" w:hAnsi="Arial"/>
          <w:sz w:val="16"/>
          <w:szCs w:val="16"/>
          <w:b w:val="1"/>
          <w:bCs w:val="1"/>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4" w:right="49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duly executed this Agreement as of the date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TYRA BIOSCIENCES,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Todd Harris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Chief Executive Officer and President</w:t>
      </w:r>
    </w:p>
    <w:p>
      <w:pPr>
        <w:spacing w:after="0" w:line="23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Piyush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900" w:val="left"/>
        </w:tabs>
        <w:rPr>
          <w:sz w:val="20"/>
          <w:szCs w:val="20"/>
          <w:color w:val="auto"/>
        </w:rPr>
      </w:pPr>
      <w:r>
        <w:rPr>
          <w:rFonts w:ascii="Arial" w:cs="Arial" w:eastAsia="Arial" w:hAnsi="Arial"/>
          <w:sz w:val="18"/>
          <w:szCs w:val="18"/>
          <w:color w:val="auto"/>
        </w:rPr>
        <w:t>Name:</w:t>
        <w:tab/>
        <w:t>Piyush Patel, Ph.D.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9579"/>
          </w:cols>
          <w:pgMar w:left="880" w:top="274" w:right="1440" w:bottom="1440" w:gutter="0" w:footer="0" w:header="0"/>
        </w:sectPr>
      </w:pPr>
    </w:p>
    <w:bookmarkStart w:id="381" w:name="page382"/>
    <w:bookmarkEnd w:id="38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defined terms used in this Appendix I that are not otherwise defined in this Appendix I shall have the meaning ascribed to such terms in the Employment Agreement to which this Appendix I relates.</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Acquiring Company</w:t>
      </w:r>
      <w:r>
        <w:rPr>
          <w:rFonts w:ascii="Arial" w:cs="Arial" w:eastAsia="Arial" w:hAnsi="Arial"/>
          <w:sz w:val="18"/>
          <w:szCs w:val="18"/>
          <w:color w:val="auto"/>
        </w:rPr>
        <w:t>” shall mean the resulting or surviving corporation, or the company issuing cash or securities (or its ultimate parent company), in a merger consolidation, tender offer or share exchange involving the Company, or the successor corporation to the Company (whether in any such transaction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the occurrence of any one or more of the following events or conditions:</w:t>
      </w:r>
    </w:p>
    <w:p>
      <w:pPr>
        <w:spacing w:after="0" w:line="121" w:lineRule="exact"/>
        <w:rPr>
          <w:sz w:val="20"/>
          <w:szCs w:val="20"/>
          <w:color w:val="auto"/>
        </w:rPr>
      </w:pPr>
    </w:p>
    <w:p>
      <w:pPr>
        <w:ind w:right="40" w:firstLine="987"/>
        <w:spacing w:after="0" w:line="342" w:lineRule="auto"/>
        <w:tabs>
          <w:tab w:leader="none" w:pos="1206"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spacing w:after="0" w:line="15" w:lineRule="exact"/>
        <w:rPr>
          <w:rFonts w:ascii="Arial" w:cs="Arial" w:eastAsia="Arial" w:hAnsi="Arial"/>
          <w:sz w:val="16"/>
          <w:szCs w:val="16"/>
          <w:b w:val="1"/>
          <w:bCs w:val="1"/>
          <w:color w:val="auto"/>
        </w:rPr>
      </w:pPr>
    </w:p>
    <w:p>
      <w:pPr>
        <w:ind w:right="300" w:firstLine="987"/>
        <w:spacing w:after="0" w:line="277" w:lineRule="auto"/>
        <w:tabs>
          <w:tab w:leader="none" w:pos="1256"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Executive’s dishonesty or other misconduct, if such dishonesty or other misconduct is intended to or likely to materially injure the business or reputation of the Company;</w:t>
      </w:r>
    </w:p>
    <w:p>
      <w:pPr>
        <w:spacing w:after="0" w:line="62" w:lineRule="exact"/>
        <w:rPr>
          <w:rFonts w:ascii="Arial" w:cs="Arial" w:eastAsia="Arial" w:hAnsi="Arial"/>
          <w:sz w:val="18"/>
          <w:szCs w:val="18"/>
          <w:b w:val="1"/>
          <w:bCs w:val="1"/>
          <w:color w:val="auto"/>
        </w:rPr>
      </w:pPr>
    </w:p>
    <w:p>
      <w:pPr>
        <w:ind w:left="1300" w:hanging="313"/>
        <w:spacing w:after="0"/>
        <w:tabs>
          <w:tab w:leader="none" w:pos="1300"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Executive’s conviction or no contest plea to any misdemeanor involving dishonesty, theft, fraud or moral turpitude, or any felony.</w:t>
      </w:r>
    </w:p>
    <w:p>
      <w:pPr>
        <w:spacing w:after="0" w:line="128" w:lineRule="exact"/>
        <w:rPr>
          <w:rFonts w:ascii="Arial" w:cs="Arial" w:eastAsia="Arial" w:hAnsi="Arial"/>
          <w:sz w:val="17"/>
          <w:szCs w:val="17"/>
          <w:b w:val="1"/>
          <w:bCs w:val="1"/>
          <w:color w:val="auto"/>
        </w:rPr>
      </w:pPr>
    </w:p>
    <w:p>
      <w:pPr>
        <w:ind w:right="160" w:firstLine="987"/>
        <w:spacing w:after="0" w:line="308" w:lineRule="auto"/>
        <w:tabs>
          <w:tab w:leader="none" w:pos="1296"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Executive’s insobriety or illegal use of drugs, chemicals or controlled substances either (A) in the course of performing Executive’s duties and responsibilities under this Agreement or (B) otherwise materially affecting the ability of Executive to perform the same;</w:t>
      </w:r>
    </w:p>
    <w:p>
      <w:pPr>
        <w:spacing w:after="0" w:line="38" w:lineRule="exact"/>
        <w:rPr>
          <w:rFonts w:ascii="Arial" w:cs="Arial" w:eastAsia="Arial" w:hAnsi="Arial"/>
          <w:sz w:val="17"/>
          <w:szCs w:val="17"/>
          <w:b w:val="1"/>
          <w:bCs w:val="1"/>
          <w:color w:val="auto"/>
        </w:rPr>
      </w:pPr>
    </w:p>
    <w:p>
      <w:pPr>
        <w:ind w:right="40" w:firstLine="987"/>
        <w:spacing w:after="0" w:line="277" w:lineRule="auto"/>
        <w:tabs>
          <w:tab w:leader="none" w:pos="1246"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Executive’s material breach of any written agreement with the Company or any of its affiliates or material violation of the Company’s Code of Conduct or any other material written policy of the Company; or</w:t>
      </w:r>
    </w:p>
    <w:p>
      <w:pPr>
        <w:spacing w:after="0" w:line="62" w:lineRule="exact"/>
        <w:rPr>
          <w:rFonts w:ascii="Arial" w:cs="Arial" w:eastAsia="Arial" w:hAnsi="Arial"/>
          <w:sz w:val="18"/>
          <w:szCs w:val="18"/>
          <w:b w:val="1"/>
          <w:bCs w:val="1"/>
          <w:color w:val="auto"/>
        </w:rPr>
      </w:pPr>
    </w:p>
    <w:p>
      <w:pPr>
        <w:ind w:left="1300" w:hanging="313"/>
        <w:spacing w:after="0"/>
        <w:tabs>
          <w:tab w:leader="none" w:pos="1300"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Any wanton or willful dereliction of duties by Executive.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shall mean the occurrence of any of the following events or circumstances:</w:t>
      </w:r>
    </w:p>
    <w:p>
      <w:pPr>
        <w:spacing w:after="0" w:line="117" w:lineRule="exact"/>
        <w:rPr>
          <w:sz w:val="20"/>
          <w:szCs w:val="20"/>
          <w:color w:val="auto"/>
        </w:rPr>
      </w:pPr>
    </w:p>
    <w:p>
      <w:pPr>
        <w:ind w:left="1200" w:hanging="213"/>
        <w:spacing w:after="0"/>
        <w:tabs>
          <w:tab w:leader="none" w:pos="1200" w:val="left"/>
        </w:tabs>
        <w:numPr>
          <w:ilvl w:val="0"/>
          <w:numId w:val="320"/>
        </w:numPr>
        <w:rPr>
          <w:rFonts w:ascii="Arial" w:cs="Arial" w:eastAsia="Arial" w:hAnsi="Arial"/>
          <w:sz w:val="17"/>
          <w:szCs w:val="17"/>
          <w:b w:val="1"/>
          <w:bCs w:val="1"/>
          <w:color w:val="auto"/>
        </w:rPr>
      </w:pPr>
      <w:r>
        <w:rPr>
          <w:rFonts w:ascii="Arial" w:cs="Arial" w:eastAsia="Arial" w:hAnsi="Arial"/>
          <w:sz w:val="17"/>
          <w:szCs w:val="17"/>
          <w:color w:val="auto"/>
        </w:rPr>
        <w:t>any “person” (within the meaning of Section 13(d) or 14(d) of the Securities Exchange Act of 1934, as amended (the “</w:t>
      </w:r>
      <w:r>
        <w:rPr>
          <w:rFonts w:ascii="Arial" w:cs="Arial" w:eastAsia="Arial" w:hAnsi="Arial"/>
          <w:sz w:val="17"/>
          <w:szCs w:val="17"/>
          <w:b w:val="1"/>
          <w:bCs w:val="1"/>
          <w:color w:val="auto"/>
        </w:rPr>
        <w:t>Exchange</w:t>
      </w:r>
    </w:p>
    <w:p>
      <w:pPr>
        <w:spacing w:after="0" w:line="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Act</w:t>
      </w:r>
      <w:r>
        <w:rPr>
          <w:rFonts w:ascii="Arial" w:cs="Arial" w:eastAsia="Arial" w:hAnsi="Arial"/>
          <w:sz w:val="17"/>
          <w:szCs w:val="17"/>
          <w:color w:val="auto"/>
        </w:rPr>
        <w:t>”)), including a “group” within the meaning of such Section 13(d) but excluding the Company and any of its subsidiaries and any employee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plan sponsored or maintained by the Company or any subsidiary thereof, shall become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w:t>
      </w:r>
      <w:r>
        <w:rPr>
          <w:rFonts w:ascii="Arial" w:cs="Arial" w:eastAsia="Arial" w:hAnsi="Arial"/>
          <w:sz w:val="17"/>
          <w:szCs w:val="17"/>
          <w:b w:val="1"/>
          <w:bCs w:val="1"/>
          <w:color w:val="auto"/>
        </w:rPr>
        <w:t>Company Voting Securities</w:t>
      </w:r>
      <w:r>
        <w:rPr>
          <w:rFonts w:ascii="Arial" w:cs="Arial" w:eastAsia="Arial" w:hAnsi="Arial"/>
          <w:sz w:val="17"/>
          <w:szCs w:val="17"/>
          <w:color w:val="auto"/>
        </w:rPr>
        <w:t>”);</w:t>
      </w:r>
    </w:p>
    <w:p>
      <w:pPr>
        <w:sectPr>
          <w:pgSz w:w="11900" w:h="16838" w:orient="portrait"/>
          <w:cols w:equalWidth="0" w:num="1">
            <w:col w:w="10920"/>
          </w:cols>
          <w:pgMar w:left="440" w:top="270" w:right="539" w:bottom="1440" w:gutter="0" w:footer="0" w:header="0"/>
        </w:sectPr>
      </w:pPr>
    </w:p>
    <w:bookmarkStart w:id="382" w:name="page383"/>
    <w:bookmarkEnd w:id="382"/>
    <w:p>
      <w:pPr>
        <w:ind w:right="40" w:firstLine="987"/>
        <w:spacing w:after="0" w:line="273" w:lineRule="auto"/>
        <w:tabs>
          <w:tab w:leader="none" w:pos="1256"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 merger or consolidation involving the Company, or the acceptance by the stockholders of the Company of equity securities in a share exchange, where the Persons who were the beneficial owners of the Company Voting Securities outstanding immediately prior to such merger, consolidation or share exchange, do not beneficially own, directly or indirectly, immediately after such merger, consolidation or share exchange, securities representing more than fifty percent (50%) of the combined voting power of the then-outstanding Company Voting Securities or voting securities of the Acquiring Company in such merger, consolidation or share exchange, in substantially the same proportions as their ownership of the Company Voting Securities immediately prior to such merger, consolidation or share exchange;</w:t>
      </w:r>
    </w:p>
    <w:p>
      <w:pPr>
        <w:spacing w:after="0" w:line="69" w:lineRule="exact"/>
        <w:rPr>
          <w:rFonts w:ascii="Arial" w:cs="Arial" w:eastAsia="Arial" w:hAnsi="Arial"/>
          <w:sz w:val="17"/>
          <w:szCs w:val="17"/>
          <w:b w:val="1"/>
          <w:bCs w:val="1"/>
          <w:color w:val="auto"/>
        </w:rPr>
      </w:pPr>
    </w:p>
    <w:p>
      <w:pPr>
        <w:ind w:right="40" w:firstLine="987"/>
        <w:spacing w:after="0" w:line="275" w:lineRule="auto"/>
        <w:tabs>
          <w:tab w:leader="none" w:pos="1306"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t>a sale, exchange or other disposition or transfer (in one transaction or a series of related transactions) of all or substantially all of the assets of the Company; provided, however, that a Change in Control shall not be deemed to have occurred where: (x) the Company sells, exchanges or otherwise disposes or transfers all or substantially all of its assets to another Person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expressly assumes this Agreement; or</w:t>
      </w:r>
    </w:p>
    <w:p>
      <w:pPr>
        <w:spacing w:after="0" w:line="68" w:lineRule="exact"/>
        <w:rPr>
          <w:rFonts w:ascii="Arial" w:cs="Arial" w:eastAsia="Arial" w:hAnsi="Arial"/>
          <w:sz w:val="17"/>
          <w:szCs w:val="17"/>
          <w:b w:val="1"/>
          <w:bCs w:val="1"/>
          <w:color w:val="auto"/>
        </w:rPr>
      </w:pPr>
    </w:p>
    <w:p>
      <w:pPr>
        <w:ind w:firstLine="987"/>
        <w:spacing w:after="0" w:line="272" w:lineRule="auto"/>
        <w:tabs>
          <w:tab w:leader="none" w:pos="1296"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t>such time as the Continuing Directors (as defined below) do not constitute at least a majority of the Board (or, if applicable, the board of directors of a successor to the Company), where the term “Continuing Director” means at any date a member of the Board who was: (x) a member of the Board on the Effective Date; or (y)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shall be a Continuing Director).</w:t>
      </w:r>
    </w:p>
    <w:p>
      <w:pPr>
        <w:spacing w:after="0" w:line="17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 Period</w:t>
      </w:r>
      <w:r>
        <w:rPr>
          <w:rFonts w:ascii="Arial" w:cs="Arial" w:eastAsia="Arial" w:hAnsi="Arial"/>
          <w:sz w:val="18"/>
          <w:szCs w:val="18"/>
          <w:color w:val="auto"/>
        </w:rPr>
        <w:t>” shall mean the period commencing three (3) months prior to a Change in Control and ending on the eighteen (18)-month anniversary of the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permanent and total disability within the meaning of Section 22(e) of the Code.</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Good Reason</w:t>
      </w:r>
      <w:r>
        <w:rPr>
          <w:rFonts w:ascii="Arial" w:cs="Arial" w:eastAsia="Arial" w:hAnsi="Arial"/>
          <w:sz w:val="17"/>
          <w:szCs w:val="17"/>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your Annual Base Salary); (ii) a material reduction of Executive’s duties and responsibilities from those in effect on the Effective Date; (iii) the Company’s material breach of this Agreement (other than a reduction of your Annual Base Salary as part of a reduction in the base salaries of all or substantially all other similarly situated employees of the Company that is in the same proportion as the reduction in your Annual Base Salary); or (iv) the permanent, non-voluntary relocation of Executive’s principal place of employment that increases Executive’s one-way</w:t>
      </w:r>
    </w:p>
    <w:p>
      <w:pPr>
        <w:sectPr>
          <w:pgSz w:w="11900" w:h="16838" w:orient="portrait"/>
          <w:cols w:equalWidth="0" w:num="1">
            <w:col w:w="11000"/>
          </w:cols>
          <w:pgMar w:left="440" w:top="274" w:right="459" w:bottom="1440" w:gutter="0" w:footer="0" w:header="0"/>
        </w:sectPr>
      </w:pPr>
    </w:p>
    <w:bookmarkStart w:id="383" w:name="page384"/>
    <w:bookmarkEnd w:id="38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commute by more than thirty-five (35) miles, provided, that, in each case, Executive will not be deemed to have Good Reason unless (A)Executive first provides the Board with written notice of the condition giving rise to Good Reason within thirty (30)days of its initial occurrence, (B)the Company or the successor company fails to cure such condition within ten (10)days after receiving such written notice (the “Cure Period”), and (C)Executive’s resignation based on such Good Reason is effective within thirty (30)days after the expiration of the Cure Period.</w:t>
      </w:r>
    </w:p>
    <w:p>
      <w:pPr>
        <w:spacing w:after="0" w:line="16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Involuntary Termination</w:t>
      </w:r>
      <w:r>
        <w:rPr>
          <w:rFonts w:ascii="Arial" w:cs="Arial" w:eastAsia="Arial" w:hAnsi="Arial"/>
          <w:sz w:val="18"/>
          <w:szCs w:val="18"/>
          <w:color w:val="auto"/>
        </w:rPr>
        <w:t>” shall mean Executive’s termination (A) by the Company without Cause, (B) by Executive for Good Reason, (C) due to death or (D) due to Disability.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any individual, corporation, limited liability corporation, partnership, or other business entity.</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B44A05"/>
    <w:multiLevelType w:val="hybridMultilevel"/>
    <w:lvl w:ilvl="0">
      <w:lvlJc w:val="left"/>
      <w:lvlText w:val="(%1)"/>
      <w:numFmt w:val="decimal"/>
      <w:start w:val="1"/>
    </w:lvl>
  </w:abstractNum>
  <w:abstractNum w:abstractNumId="1">
    <w:nsid w:val="16CF80F1"/>
    <w:multiLevelType w:val="hybridMultilevel"/>
    <w:lvl w:ilvl="0">
      <w:lvlJc w:val="left"/>
      <w:lvlText w:val="(%1)"/>
      <w:numFmt w:val="decimal"/>
      <w:start w:val="1"/>
    </w:lvl>
  </w:abstractNum>
  <w:abstractNum w:abstractNumId="2">
    <w:nsid w:val="1C695DEC"/>
    <w:multiLevelType w:val="hybridMultilevel"/>
    <w:lvl w:ilvl="0">
      <w:lvlJc w:val="left"/>
      <w:lvlText w:val="•"/>
      <w:numFmt w:val="bullet"/>
      <w:start w:val="1"/>
    </w:lvl>
  </w:abstractNum>
  <w:abstractNum w:abstractNumId="3">
    <w:nsid w:val="3FCFAED9"/>
    <w:multiLevelType w:val="hybridMultilevel"/>
    <w:lvl w:ilvl="0">
      <w:lvlJc w:val="left"/>
      <w:lvlText w:val="•"/>
      <w:numFmt w:val="bullet"/>
      <w:start w:val="1"/>
    </w:lvl>
  </w:abstractNum>
  <w:abstractNum w:abstractNumId="4">
    <w:nsid w:val="F856867"/>
    <w:multiLevelType w:val="hybridMultilevel"/>
    <w:lvl w:ilvl="0">
      <w:lvlJc w:val="left"/>
      <w:lvlText w:val="•"/>
      <w:numFmt w:val="bullet"/>
      <w:start w:val="1"/>
    </w:lvl>
  </w:abstractNum>
  <w:abstractNum w:abstractNumId="5">
    <w:nsid w:val="11B1CC33"/>
    <w:multiLevelType w:val="hybridMultilevel"/>
    <w:lvl w:ilvl="0">
      <w:lvlJc w:val="left"/>
      <w:lvlText w:val="•"/>
      <w:numFmt w:val="bullet"/>
      <w:start w:val="1"/>
    </w:lvl>
  </w:abstractNum>
  <w:abstractNum w:abstractNumId="6">
    <w:nsid w:val="2E22FBB7"/>
    <w:multiLevelType w:val="hybridMultilevel"/>
    <w:lvl w:ilvl="0">
      <w:lvlJc w:val="left"/>
      <w:lvlText w:val="•"/>
      <w:numFmt w:val="bullet"/>
      <w:start w:val="1"/>
    </w:lvl>
  </w:abstractNum>
  <w:abstractNum w:abstractNumId="7">
    <w:nsid w:val="29934699"/>
    <w:multiLevelType w:val="hybridMultilevel"/>
    <w:lvl w:ilvl="0">
      <w:lvlJc w:val="left"/>
      <w:lvlText w:val="•"/>
      <w:numFmt w:val="bullet"/>
      <w:start w:val="1"/>
    </w:lvl>
  </w:abstractNum>
  <w:abstractNum w:abstractNumId="8">
    <w:nsid w:val="77485850"/>
    <w:multiLevelType w:val="hybridMultilevel"/>
    <w:lvl w:ilvl="0">
      <w:lvlJc w:val="left"/>
      <w:lvlText w:val="•"/>
      <w:numFmt w:val="bullet"/>
      <w:start w:val="1"/>
    </w:lvl>
  </w:abstractNum>
  <w:abstractNum w:abstractNumId="9">
    <w:nsid w:val="744939A3"/>
    <w:multiLevelType w:val="hybridMultilevel"/>
    <w:lvl w:ilvl="0">
      <w:lvlJc w:val="left"/>
      <w:lvlText w:val="•"/>
      <w:numFmt w:val="bullet"/>
      <w:start w:val="1"/>
    </w:lvl>
  </w:abstractNum>
  <w:abstractNum w:abstractNumId="10">
    <w:nsid w:val="4FA0D2E3"/>
    <w:multiLevelType w:val="hybridMultilevel"/>
    <w:lvl w:ilvl="0">
      <w:lvlJc w:val="left"/>
      <w:lvlText w:val="•"/>
      <w:numFmt w:val="bullet"/>
      <w:start w:val="1"/>
    </w:lvl>
  </w:abstractNum>
  <w:abstractNum w:abstractNumId="11">
    <w:nsid w:val="6B1D2C14"/>
    <w:multiLevelType w:val="hybridMultilevel"/>
    <w:lvl w:ilvl="0">
      <w:lvlJc w:val="left"/>
      <w:lvlText w:val="(%1)"/>
      <w:numFmt w:val="decimal"/>
      <w:start w:val="1"/>
    </w:lvl>
  </w:abstractNum>
  <w:abstractNum w:abstractNumId="12">
    <w:nsid w:val="68B867D3"/>
    <w:multiLevelType w:val="hybridMultilevel"/>
    <w:lvl w:ilvl="0">
      <w:lvlJc w:val="left"/>
      <w:lvlText w:val="(%1)"/>
      <w:numFmt w:val="decimal"/>
      <w:start w:val="1"/>
    </w:lvl>
  </w:abstractNum>
  <w:abstractNum w:abstractNumId="13">
    <w:nsid w:val="3F7F5DD9"/>
    <w:multiLevelType w:val="hybridMultilevel"/>
    <w:lvl w:ilvl="0">
      <w:lvlJc w:val="left"/>
      <w:lvlText w:val="(%1)"/>
      <w:numFmt w:val="decimal"/>
      <w:start w:val="3"/>
    </w:lvl>
  </w:abstractNum>
  <w:abstractNum w:abstractNumId="14">
    <w:nsid w:val="2AE05A34"/>
    <w:multiLevelType w:val="hybridMultilevel"/>
    <w:lvl w:ilvl="0">
      <w:lvlJc w:val="left"/>
      <w:lvlText w:val="(%1)"/>
      <w:numFmt w:val="decimal"/>
      <w:start w:val="4"/>
    </w:lvl>
  </w:abstractNum>
  <w:abstractNum w:abstractNumId="15">
    <w:nsid w:val="32794FF7"/>
    <w:multiLevelType w:val="hybridMultilevel"/>
    <w:lvl w:ilvl="0">
      <w:lvlJc w:val="left"/>
      <w:lvlText w:val="•"/>
      <w:numFmt w:val="bullet"/>
      <w:start w:val="1"/>
    </w:lvl>
  </w:abstractNum>
  <w:abstractNum w:abstractNumId="16">
    <w:nsid w:val="5454945E"/>
    <w:multiLevelType w:val="hybridMultilevel"/>
    <w:lvl w:ilvl="0">
      <w:lvlJc w:val="left"/>
      <w:lvlText w:val="•"/>
      <w:numFmt w:val="bullet"/>
      <w:start w:val="1"/>
    </w:lvl>
  </w:abstractNum>
  <w:abstractNum w:abstractNumId="17">
    <w:nsid w:val="4DEFDFA0"/>
    <w:multiLevelType w:val="hybridMultilevel"/>
    <w:lvl w:ilvl="0">
      <w:lvlJc w:val="left"/>
      <w:lvlText w:val="•"/>
      <w:numFmt w:val="bullet"/>
      <w:start w:val="1"/>
    </w:lvl>
  </w:abstractNum>
  <w:abstractNum w:abstractNumId="18">
    <w:nsid w:val="2123D5F2"/>
    <w:multiLevelType w:val="hybridMultilevel"/>
    <w:lvl w:ilvl="0">
      <w:lvlJc w:val="left"/>
      <w:lvlText w:val="•"/>
      <w:numFmt w:val="bullet"/>
      <w:start w:val="1"/>
    </w:lvl>
  </w:abstractNum>
  <w:abstractNum w:abstractNumId="19">
    <w:nsid w:val="135B8110"/>
    <w:multiLevelType w:val="hybridMultilevel"/>
    <w:lvl w:ilvl="0">
      <w:lvlJc w:val="left"/>
      <w:lvlText w:val="•"/>
      <w:numFmt w:val="bullet"/>
      <w:start w:val="1"/>
    </w:lvl>
  </w:abstractNum>
  <w:abstractNum w:abstractNumId="20">
    <w:nsid w:val="94927A8"/>
    <w:multiLevelType w:val="hybridMultilevel"/>
    <w:lvl w:ilvl="0">
      <w:lvlJc w:val="left"/>
      <w:lvlText w:val="•"/>
      <w:numFmt w:val="bullet"/>
      <w:start w:val="1"/>
    </w:lvl>
  </w:abstractNum>
  <w:abstractNum w:abstractNumId="21">
    <w:nsid w:val="DCDF8F6"/>
    <w:multiLevelType w:val="hybridMultilevel"/>
    <w:lvl w:ilvl="0">
      <w:lvlJc w:val="left"/>
      <w:lvlText w:val="•"/>
      <w:numFmt w:val="bullet"/>
      <w:start w:val="1"/>
    </w:lvl>
  </w:abstractNum>
  <w:abstractNum w:abstractNumId="22">
    <w:nsid w:val="52D7B105"/>
    <w:multiLevelType w:val="hybridMultilevel"/>
    <w:lvl w:ilvl="0">
      <w:lvlJc w:val="left"/>
      <w:lvlText w:val="•"/>
      <w:numFmt w:val="bullet"/>
      <w:start w:val="1"/>
    </w:lvl>
  </w:abstractNum>
  <w:abstractNum w:abstractNumId="23">
    <w:nsid w:val="2E8A6394"/>
    <w:multiLevelType w:val="hybridMultilevel"/>
    <w:lvl w:ilvl="0">
      <w:lvlJc w:val="left"/>
      <w:lvlText w:val="•"/>
      <w:numFmt w:val="bullet"/>
      <w:start w:val="1"/>
    </w:lvl>
  </w:abstractNum>
  <w:abstractNum w:abstractNumId="24">
    <w:nsid w:val="24E60401"/>
    <w:multiLevelType w:val="hybridMultilevel"/>
    <w:lvl w:ilvl="0">
      <w:lvlJc w:val="left"/>
      <w:lvlText w:val="•"/>
      <w:numFmt w:val="bullet"/>
      <w:start w:val="1"/>
    </w:lvl>
  </w:abstractNum>
  <w:abstractNum w:abstractNumId="25">
    <w:nsid w:val="2A6AD9BE"/>
    <w:multiLevelType w:val="hybridMultilevel"/>
    <w:lvl w:ilvl="0">
      <w:lvlJc w:val="left"/>
      <w:lvlText w:val="•"/>
      <w:numFmt w:val="bullet"/>
      <w:start w:val="1"/>
    </w:lvl>
  </w:abstractNum>
  <w:abstractNum w:abstractNumId="26">
    <w:nsid w:val="BAAC1B4"/>
    <w:multiLevelType w:val="hybridMultilevel"/>
    <w:lvl w:ilvl="0">
      <w:lvlJc w:val="left"/>
      <w:lvlText w:val="•"/>
      <w:numFmt w:val="bullet"/>
      <w:start w:val="1"/>
    </w:lvl>
  </w:abstractNum>
  <w:abstractNum w:abstractNumId="27">
    <w:nsid w:val="36B2ACBC"/>
    <w:multiLevelType w:val="hybridMultilevel"/>
    <w:lvl w:ilvl="0">
      <w:lvlJc w:val="left"/>
      <w:lvlText w:val="•"/>
      <w:numFmt w:val="bullet"/>
      <w:start w:val="1"/>
    </w:lvl>
  </w:abstractNum>
  <w:abstractNum w:abstractNumId="28">
    <w:nsid w:val="779D8544"/>
    <w:multiLevelType w:val="hybridMultilevel"/>
    <w:lvl w:ilvl="0">
      <w:lvlJc w:val="left"/>
      <w:lvlText w:val="•"/>
      <w:numFmt w:val="bullet"/>
      <w:start w:val="1"/>
    </w:lvl>
  </w:abstractNum>
  <w:abstractNum w:abstractNumId="29">
    <w:nsid w:val="4AB26E78"/>
    <w:multiLevelType w:val="hybridMultilevel"/>
    <w:lvl w:ilvl="0">
      <w:lvlJc w:val="left"/>
      <w:lvlText w:val="•"/>
      <w:numFmt w:val="bullet"/>
      <w:start w:val="1"/>
    </w:lvl>
  </w:abstractNum>
  <w:abstractNum w:abstractNumId="30">
    <w:nsid w:val="21FAA2FA"/>
    <w:multiLevelType w:val="hybridMultilevel"/>
    <w:lvl w:ilvl="0">
      <w:lvlJc w:val="left"/>
      <w:lvlText w:val="•"/>
      <w:numFmt w:val="bullet"/>
      <w:start w:val="1"/>
    </w:lvl>
  </w:abstractNum>
  <w:abstractNum w:abstractNumId="31">
    <w:nsid w:val="5451CF49"/>
    <w:multiLevelType w:val="hybridMultilevel"/>
    <w:lvl w:ilvl="0">
      <w:lvlJc w:val="left"/>
      <w:lvlText w:val="•"/>
      <w:numFmt w:val="bullet"/>
      <w:start w:val="1"/>
    </w:lvl>
  </w:abstractNum>
  <w:abstractNum w:abstractNumId="32">
    <w:nsid w:val="6181EF69"/>
    <w:multiLevelType w:val="hybridMultilevel"/>
    <w:lvl w:ilvl="0">
      <w:lvlJc w:val="left"/>
      <w:lvlText w:val="•"/>
      <w:numFmt w:val="bullet"/>
      <w:start w:val="1"/>
    </w:lvl>
  </w:abstractNum>
  <w:abstractNum w:abstractNumId="33">
    <w:nsid w:val="3E6400E6"/>
    <w:multiLevelType w:val="hybridMultilevel"/>
    <w:lvl w:ilvl="0">
      <w:lvlJc w:val="left"/>
      <w:lvlText w:val="•"/>
      <w:numFmt w:val="bullet"/>
      <w:start w:val="1"/>
    </w:lvl>
  </w:abstractNum>
  <w:abstractNum w:abstractNumId="34">
    <w:nsid w:val="14217E23"/>
    <w:multiLevelType w:val="hybridMultilevel"/>
    <w:lvl w:ilvl="0">
      <w:lvlJc w:val="left"/>
      <w:lvlText w:val="•"/>
      <w:numFmt w:val="bullet"/>
      <w:start w:val="1"/>
    </w:lvl>
  </w:abstractNum>
  <w:abstractNum w:abstractNumId="35">
    <w:nsid w:val="710757D0"/>
    <w:multiLevelType w:val="hybridMultilevel"/>
    <w:lvl w:ilvl="0">
      <w:lvlJc w:val="left"/>
      <w:lvlText w:val="(%1)"/>
      <w:numFmt w:val="lowerRoman"/>
      <w:start w:val="1"/>
    </w:lvl>
  </w:abstractNum>
  <w:abstractNum w:abstractNumId="36">
    <w:nsid w:val="5015CD1A"/>
    <w:multiLevelType w:val="hybridMultilevel"/>
    <w:lvl w:ilvl="0">
      <w:lvlJc w:val="left"/>
      <w:lvlText w:val="•"/>
      <w:numFmt w:val="bullet"/>
      <w:start w:val="1"/>
    </w:lvl>
  </w:abstractNum>
  <w:abstractNum w:abstractNumId="37">
    <w:nsid w:val="424479DA"/>
    <w:multiLevelType w:val="hybridMultilevel"/>
    <w:lvl w:ilvl="0">
      <w:lvlJc w:val="left"/>
      <w:lvlText w:val="•"/>
      <w:numFmt w:val="bullet"/>
      <w:start w:val="1"/>
    </w:lvl>
  </w:abstractNum>
  <w:abstractNum w:abstractNumId="38">
    <w:nsid w:val="1A9A9E69"/>
    <w:multiLevelType w:val="hybridMultilevel"/>
    <w:lvl w:ilvl="0">
      <w:lvlJc w:val="left"/>
      <w:lvlText w:val="•"/>
      <w:numFmt w:val="bullet"/>
      <w:start w:val="1"/>
    </w:lvl>
  </w:abstractNum>
  <w:abstractNum w:abstractNumId="39">
    <w:nsid w:val="475E256A"/>
    <w:multiLevelType w:val="hybridMultilevel"/>
    <w:lvl w:ilvl="0">
      <w:lvlJc w:val="left"/>
      <w:lvlText w:val="•"/>
      <w:numFmt w:val="bullet"/>
      <w:start w:val="1"/>
    </w:lvl>
  </w:abstractNum>
  <w:abstractNum w:abstractNumId="40">
    <w:nsid w:val="368DB37E"/>
    <w:multiLevelType w:val="hybridMultilevel"/>
    <w:lvl w:ilvl="0">
      <w:lvlJc w:val="left"/>
      <w:lvlText w:val="•"/>
      <w:numFmt w:val="bullet"/>
      <w:start w:val="1"/>
    </w:lvl>
  </w:abstractNum>
  <w:abstractNum w:abstractNumId="41">
    <w:nsid w:val="6A3B714C"/>
    <w:multiLevelType w:val="hybridMultilevel"/>
    <w:lvl w:ilvl="0">
      <w:lvlJc w:val="left"/>
      <w:lvlText w:val="•"/>
      <w:numFmt w:val="bullet"/>
      <w:start w:val="1"/>
    </w:lvl>
  </w:abstractNum>
  <w:abstractNum w:abstractNumId="42">
    <w:nsid w:val="327B517E"/>
    <w:multiLevelType w:val="hybridMultilevel"/>
    <w:lvl w:ilvl="0">
      <w:lvlJc w:val="left"/>
      <w:lvlText w:val="•"/>
      <w:numFmt w:val="bullet"/>
      <w:start w:val="1"/>
    </w:lvl>
  </w:abstractNum>
  <w:abstractNum w:abstractNumId="43">
    <w:nsid w:val="1F461B51"/>
    <w:multiLevelType w:val="hybridMultilevel"/>
    <w:lvl w:ilvl="0">
      <w:lvlJc w:val="left"/>
      <w:lvlText w:val="•"/>
      <w:numFmt w:val="bullet"/>
      <w:start w:val="1"/>
    </w:lvl>
  </w:abstractNum>
  <w:abstractNum w:abstractNumId="44">
    <w:nsid w:val="29BACF25"/>
    <w:multiLevelType w:val="hybridMultilevel"/>
    <w:lvl w:ilvl="0">
      <w:lvlJc w:val="left"/>
      <w:lvlText w:val="•"/>
      <w:numFmt w:val="bullet"/>
      <w:start w:val="1"/>
    </w:lvl>
  </w:abstractNum>
  <w:abstractNum w:abstractNumId="45">
    <w:nsid w:val="5D5BABB3"/>
    <w:multiLevelType w:val="hybridMultilevel"/>
    <w:lvl w:ilvl="0">
      <w:lvlJc w:val="left"/>
      <w:lvlText w:val="•"/>
      <w:numFmt w:val="bullet"/>
      <w:start w:val="1"/>
    </w:lvl>
  </w:abstractNum>
  <w:abstractNum w:abstractNumId="46">
    <w:nsid w:val="51BF6B48"/>
    <w:multiLevelType w:val="hybridMultilevel"/>
    <w:lvl w:ilvl="0">
      <w:lvlJc w:val="left"/>
      <w:lvlText w:val="•"/>
      <w:numFmt w:val="bullet"/>
      <w:start w:val="1"/>
    </w:lvl>
  </w:abstractNum>
  <w:abstractNum w:abstractNumId="47">
    <w:nsid w:val="7E0F6384"/>
    <w:multiLevelType w:val="hybridMultilevel"/>
    <w:lvl w:ilvl="0">
      <w:lvlJc w:val="left"/>
      <w:lvlText w:val="•"/>
      <w:numFmt w:val="bullet"/>
      <w:start w:val="1"/>
    </w:lvl>
  </w:abstractNum>
  <w:abstractNum w:abstractNumId="48">
    <w:nsid w:val="2B4B8B53"/>
    <w:multiLevelType w:val="hybridMultilevel"/>
    <w:lvl w:ilvl="0">
      <w:lvlJc w:val="left"/>
      <w:lvlText w:val="$"/>
      <w:numFmt w:val="bullet"/>
      <w:start w:val="1"/>
    </w:lvl>
  </w:abstractNum>
  <w:abstractNum w:abstractNumId="49">
    <w:nsid w:val="72E3413A"/>
    <w:multiLevelType w:val="hybridMultilevel"/>
    <w:lvl w:ilvl="0">
      <w:lvlJc w:val="left"/>
      <w:lvlText w:val="$"/>
      <w:numFmt w:val="bullet"/>
      <w:start w:val="1"/>
    </w:lvl>
  </w:abstractNum>
  <w:abstractNum w:abstractNumId="50">
    <w:nsid w:val="116AE494"/>
    <w:multiLevelType w:val="hybridMultilevel"/>
    <w:lvl w:ilvl="0">
      <w:lvlJc w:val="left"/>
      <w:lvlText w:val="•"/>
      <w:numFmt w:val="bullet"/>
      <w:start w:val="1"/>
    </w:lvl>
  </w:abstractNum>
  <w:abstractNum w:abstractNumId="51">
    <w:nsid w:val="3494B2FB"/>
    <w:multiLevelType w:val="hybridMultilevel"/>
    <w:lvl w:ilvl="0">
      <w:lvlJc w:val="left"/>
      <w:lvlText w:val="•"/>
      <w:numFmt w:val="bullet"/>
      <w:start w:val="1"/>
    </w:lvl>
  </w:abstractNum>
  <w:abstractNum w:abstractNumId="52">
    <w:nsid w:val="B13A31"/>
    <w:multiLevelType w:val="hybridMultilevel"/>
    <w:lvl w:ilvl="0">
      <w:lvlJc w:val="left"/>
      <w:lvlText w:val="."/>
      <w:numFmt w:val="bullet"/>
      <w:start w:val="1"/>
    </w:lvl>
  </w:abstractNum>
  <w:abstractNum w:abstractNumId="53">
    <w:nsid w:val="64429599"/>
    <w:multiLevelType w:val="hybridMultilevel"/>
    <w:lvl w:ilvl="0">
      <w:lvlJc w:val="left"/>
      <w:lvlText w:val="•"/>
      <w:numFmt w:val="bullet"/>
      <w:start w:val="1"/>
    </w:lvl>
    <w:lvl w:ilvl="1">
      <w:lvlJc w:val="left"/>
      <w:lvlText w:val="•"/>
      <w:numFmt w:val="bullet"/>
      <w:start w:val="1"/>
    </w:lvl>
  </w:abstractNum>
  <w:abstractNum w:abstractNumId="54">
    <w:nsid w:val="631F1690"/>
    <w:multiLevelType w:val="hybridMultilevel"/>
    <w:lvl w:ilvl="0">
      <w:lvlJc w:val="left"/>
      <w:lvlText w:val="•"/>
      <w:numFmt w:val="bullet"/>
      <w:start w:val="1"/>
    </w:lvl>
  </w:abstractNum>
  <w:abstractNum w:abstractNumId="55">
    <w:nsid w:val="25973E32"/>
    <w:multiLevelType w:val="hybridMultilevel"/>
    <w:lvl w:ilvl="0">
      <w:lvlJc w:val="left"/>
      <w:lvlText w:val="•"/>
      <w:numFmt w:val="bullet"/>
      <w:start w:val="1"/>
    </w:lvl>
  </w:abstractNum>
  <w:abstractNum w:abstractNumId="56">
    <w:nsid w:val="EAD6F57"/>
    <w:multiLevelType w:val="hybridMultilevel"/>
    <w:lvl w:ilvl="0">
      <w:lvlJc w:val="left"/>
      <w:lvlText w:val="•"/>
      <w:numFmt w:val="bullet"/>
      <w:start w:val="1"/>
    </w:lvl>
  </w:abstractNum>
  <w:abstractNum w:abstractNumId="57">
    <w:nsid w:val="6EC9D844"/>
    <w:multiLevelType w:val="hybridMultilevel"/>
    <w:lvl w:ilvl="0">
      <w:lvlJc w:val="left"/>
      <w:lvlText w:val="•"/>
      <w:numFmt w:val="bullet"/>
      <w:start w:val="1"/>
    </w:lvl>
  </w:abstractNum>
  <w:abstractNum w:abstractNumId="58">
    <w:nsid w:val="5C49EAEE"/>
    <w:multiLevelType w:val="hybridMultilevel"/>
    <w:lvl w:ilvl="0">
      <w:lvlJc w:val="left"/>
      <w:lvlText w:val="•"/>
      <w:numFmt w:val="bullet"/>
      <w:start w:val="1"/>
    </w:lvl>
  </w:abstractNum>
  <w:abstractNum w:abstractNumId="59">
    <w:nsid w:val="64AF49B"/>
    <w:multiLevelType w:val="hybridMultilevel"/>
    <w:lvl w:ilvl="0">
      <w:lvlJc w:val="left"/>
      <w:lvlText w:val="(%1)"/>
      <w:numFmt w:val="lowerRoman"/>
      <w:start w:val="2"/>
    </w:lvl>
  </w:abstractNum>
  <w:abstractNum w:abstractNumId="60">
    <w:nsid w:val="397C46BC"/>
    <w:multiLevelType w:val="hybridMultilevel"/>
    <w:lvl w:ilvl="0">
      <w:lvlJc w:val="left"/>
      <w:lvlText w:val="."/>
      <w:numFmt w:val="bullet"/>
      <w:start w:val="1"/>
    </w:lvl>
  </w:abstractNum>
  <w:abstractNum w:abstractNumId="61">
    <w:nsid w:val="7E448DE9"/>
    <w:multiLevelType w:val="hybridMultilevel"/>
    <w:lvl w:ilvl="0">
      <w:lvlJc w:val="left"/>
      <w:lvlText w:val="•"/>
      <w:numFmt w:val="bullet"/>
      <w:start w:val="1"/>
    </w:lvl>
  </w:abstractNum>
  <w:abstractNum w:abstractNumId="62">
    <w:nsid w:val="5A9CC3E5"/>
    <w:multiLevelType w:val="hybridMultilevel"/>
    <w:lvl w:ilvl="0">
      <w:lvlJc w:val="left"/>
      <w:lvlText w:val="•"/>
      <w:numFmt w:val="bullet"/>
      <w:start w:val="1"/>
    </w:lvl>
  </w:abstractNum>
  <w:abstractNum w:abstractNumId="63">
    <w:nsid w:val="1AFE3625"/>
    <w:multiLevelType w:val="hybridMultilevel"/>
    <w:lvl w:ilvl="0">
      <w:lvlJc w:val="left"/>
      <w:lvlText w:val="•"/>
      <w:numFmt w:val="bullet"/>
      <w:start w:val="1"/>
    </w:lvl>
  </w:abstractNum>
  <w:abstractNum w:abstractNumId="64">
    <w:nsid w:val="3CA88ECF"/>
    <w:multiLevelType w:val="hybridMultilevel"/>
    <w:lvl w:ilvl="0">
      <w:lvlJc w:val="left"/>
      <w:lvlText w:val="•"/>
      <w:numFmt w:val="bullet"/>
      <w:start w:val="1"/>
    </w:lvl>
  </w:abstractNum>
  <w:abstractNum w:abstractNumId="65">
    <w:nsid w:val="6EBE4208"/>
    <w:multiLevelType w:val="hybridMultilevel"/>
    <w:lvl w:ilvl="0">
      <w:lvlJc w:val="left"/>
      <w:lvlText w:val="•"/>
      <w:numFmt w:val="bullet"/>
      <w:start w:val="1"/>
    </w:lvl>
  </w:abstractNum>
  <w:abstractNum w:abstractNumId="66">
    <w:nsid w:val="C058DF5"/>
    <w:multiLevelType w:val="hybridMultilevel"/>
    <w:lvl w:ilvl="0">
      <w:lvlJc w:val="left"/>
      <w:lvlText w:val="%1)"/>
      <w:numFmt w:val="decimal"/>
      <w:start w:val="1"/>
    </w:lvl>
  </w:abstractNum>
  <w:abstractNum w:abstractNumId="67">
    <w:nsid w:val="CBE5BE9"/>
    <w:multiLevelType w:val="hybridMultilevel"/>
    <w:lvl w:ilvl="0">
      <w:lvlJc w:val="left"/>
      <w:lvlText w:val="•"/>
      <w:numFmt w:val="bullet"/>
      <w:start w:val="1"/>
    </w:lvl>
  </w:abstractNum>
  <w:abstractNum w:abstractNumId="68">
    <w:nsid w:val="3102BBE2"/>
    <w:multiLevelType w:val="hybridMultilevel"/>
    <w:lvl w:ilvl="0">
      <w:lvlJc w:val="left"/>
      <w:lvlText w:val="•"/>
      <w:numFmt w:val="bullet"/>
      <w:start w:val="1"/>
    </w:lvl>
  </w:abstractNum>
  <w:abstractNum w:abstractNumId="69">
    <w:nsid w:val="26A02C5E"/>
    <w:multiLevelType w:val="hybridMultilevel"/>
    <w:lvl w:ilvl="0">
      <w:lvlJc w:val="left"/>
      <w:lvlText w:val="•"/>
      <w:numFmt w:val="bullet"/>
      <w:start w:val="1"/>
    </w:lvl>
  </w:abstractNum>
  <w:abstractNum w:abstractNumId="70">
    <w:nsid w:val="541C8153"/>
    <w:multiLevelType w:val="hybridMultilevel"/>
    <w:lvl w:ilvl="0">
      <w:lvlJc w:val="left"/>
      <w:lvlText w:val="•"/>
      <w:numFmt w:val="bullet"/>
      <w:start w:val="1"/>
    </w:lvl>
  </w:abstractNum>
  <w:abstractNum w:abstractNumId="71">
    <w:nsid w:val="67906F60"/>
    <w:multiLevelType w:val="hybridMultilevel"/>
    <w:lvl w:ilvl="0">
      <w:lvlJc w:val="left"/>
      <w:lvlText w:val="(%1)"/>
      <w:numFmt w:val="decimal"/>
      <w:start w:val="1"/>
    </w:lvl>
  </w:abstractNum>
  <w:abstractNum w:abstractNumId="72">
    <w:nsid w:val="10DB9DAA"/>
    <w:multiLevelType w:val="hybridMultilevel"/>
    <w:lvl w:ilvl="0">
      <w:lvlJc w:val="left"/>
      <w:lvlText w:val="•"/>
      <w:numFmt w:val="bullet"/>
      <w:start w:val="1"/>
    </w:lvl>
  </w:abstractNum>
  <w:abstractNum w:abstractNumId="73">
    <w:nsid w:val="697D2D2"/>
    <w:multiLevelType w:val="hybridMultilevel"/>
    <w:lvl w:ilvl="0">
      <w:lvlJc w:val="left"/>
      <w:lvlText w:val="•"/>
      <w:numFmt w:val="bullet"/>
      <w:start w:val="1"/>
    </w:lvl>
  </w:abstractNum>
  <w:abstractNum w:abstractNumId="74">
    <w:nsid w:val="6D68AB2"/>
    <w:multiLevelType w:val="hybridMultilevel"/>
    <w:lvl w:ilvl="0">
      <w:lvlJc w:val="left"/>
      <w:lvlText w:val="•"/>
      <w:numFmt w:val="bullet"/>
      <w:start w:val="1"/>
    </w:lvl>
  </w:abstractNum>
  <w:abstractNum w:abstractNumId="75">
    <w:nsid w:val="3A966CD0"/>
    <w:multiLevelType w:val="hybridMultilevel"/>
    <w:lvl w:ilvl="0">
      <w:lvlJc w:val="left"/>
      <w:lvlText w:val="•"/>
      <w:numFmt w:val="bullet"/>
      <w:start w:val="1"/>
    </w:lvl>
  </w:abstractNum>
  <w:abstractNum w:abstractNumId="76">
    <w:nsid w:val="63F37E85"/>
    <w:multiLevelType w:val="hybridMultilevel"/>
    <w:lvl w:ilvl="0">
      <w:lvlJc w:val="left"/>
      <w:lvlText w:val="•"/>
      <w:numFmt w:val="bullet"/>
      <w:start w:val="1"/>
    </w:lvl>
  </w:abstractNum>
  <w:abstractNum w:abstractNumId="77">
    <w:nsid w:val="5895F5FA"/>
    <w:multiLevelType w:val="hybridMultilevel"/>
    <w:lvl w:ilvl="0">
      <w:lvlJc w:val="left"/>
      <w:lvlText w:val="(%1)"/>
      <w:numFmt w:val="decimal"/>
      <w:start w:val="1"/>
    </w:lvl>
  </w:abstractNum>
  <w:abstractNum w:abstractNumId="78">
    <w:nsid w:val="38A5D054"/>
    <w:multiLevelType w:val="hybridMultilevel"/>
    <w:lvl w:ilvl="0">
      <w:lvlJc w:val="left"/>
      <w:lvlText w:val="(%1)"/>
      <w:numFmt w:val="decimal"/>
      <w:start w:val="1"/>
    </w:lvl>
  </w:abstractNum>
  <w:abstractNum w:abstractNumId="79">
    <w:nsid w:val="F3F09D8"/>
    <w:multiLevelType w:val="hybridMultilevel"/>
    <w:lvl w:ilvl="0">
      <w:lvlJc w:val="left"/>
      <w:lvlText w:val="(%1)"/>
      <w:numFmt w:val="decimal"/>
      <w:start w:val="7"/>
    </w:lvl>
  </w:abstractNum>
  <w:abstractNum w:abstractNumId="80">
    <w:nsid w:val="4B793735"/>
    <w:multiLevelType w:val="hybridMultilevel"/>
    <w:lvl w:ilvl="0">
      <w:lvlJc w:val="left"/>
      <w:lvlText w:val="(%1)"/>
      <w:numFmt w:val="upperLetter"/>
      <w:start w:val="1"/>
    </w:lvl>
  </w:abstractNum>
  <w:abstractNum w:abstractNumId="81">
    <w:nsid w:val="4A10B4E8"/>
    <w:multiLevelType w:val="hybridMultilevel"/>
    <w:lvl w:ilvl="0">
      <w:lvlJc w:val="left"/>
      <w:lvlText w:val="•"/>
      <w:numFmt w:val="bullet"/>
      <w:start w:val="1"/>
    </w:lvl>
  </w:abstractNum>
  <w:abstractNum w:abstractNumId="82">
    <w:nsid w:val="43D3BCD4"/>
    <w:multiLevelType w:val="hybridMultilevel"/>
    <w:lvl w:ilvl="0">
      <w:lvlJc w:val="left"/>
      <w:lvlText w:val="•"/>
      <w:numFmt w:val="bullet"/>
      <w:start w:val="1"/>
    </w:lvl>
  </w:abstractNum>
  <w:abstractNum w:abstractNumId="83">
    <w:nsid w:val="4C2A7166"/>
    <w:multiLevelType w:val="hybridMultilevel"/>
    <w:lvl w:ilvl="0">
      <w:lvlJc w:val="left"/>
      <w:lvlText w:val="•"/>
      <w:numFmt w:val="bullet"/>
      <w:start w:val="1"/>
    </w:lvl>
  </w:abstractNum>
  <w:abstractNum w:abstractNumId="84">
    <w:nsid w:val="2E534A82"/>
    <w:multiLevelType w:val="hybridMultilevel"/>
    <w:lvl w:ilvl="0">
      <w:lvlJc w:val="left"/>
      <w:lvlText w:val="•"/>
      <w:numFmt w:val="bullet"/>
      <w:start w:val="1"/>
    </w:lvl>
  </w:abstractNum>
  <w:abstractNum w:abstractNumId="85">
    <w:nsid w:val="26F2D364"/>
    <w:multiLevelType w:val="hybridMultilevel"/>
    <w:lvl w:ilvl="0">
      <w:lvlJc w:val="left"/>
      <w:lvlText w:val="•"/>
      <w:numFmt w:val="bullet"/>
      <w:start w:val="1"/>
    </w:lvl>
  </w:abstractNum>
  <w:abstractNum w:abstractNumId="86">
    <w:nsid w:val="71C1AF98"/>
    <w:multiLevelType w:val="hybridMultilevel"/>
    <w:lvl w:ilvl="0">
      <w:lvlJc w:val="left"/>
      <w:lvlText w:val="•"/>
      <w:numFmt w:val="bullet"/>
      <w:start w:val="1"/>
    </w:lvl>
  </w:abstractNum>
  <w:abstractNum w:abstractNumId="87">
    <w:nsid w:val="3D00B9D9"/>
    <w:multiLevelType w:val="hybridMultilevel"/>
    <w:lvl w:ilvl="0">
      <w:lvlJc w:val="left"/>
      <w:lvlText w:val="•"/>
      <w:numFmt w:val="bullet"/>
      <w:start w:val="1"/>
    </w:lvl>
  </w:abstractNum>
  <w:abstractNum w:abstractNumId="88">
    <w:nsid w:val="15BCABA8"/>
    <w:multiLevelType w:val="hybridMultilevel"/>
    <w:lvl w:ilvl="0">
      <w:lvlJc w:val="left"/>
      <w:lvlText w:val="•"/>
      <w:numFmt w:val="bullet"/>
      <w:start w:val="1"/>
    </w:lvl>
  </w:abstractNum>
  <w:abstractNum w:abstractNumId="89">
    <w:nsid w:val="4E0B9A87"/>
    <w:multiLevelType w:val="hybridMultilevel"/>
    <w:lvl w:ilvl="0">
      <w:lvlJc w:val="left"/>
      <w:lvlText w:val="•"/>
      <w:numFmt w:val="bullet"/>
      <w:start w:val="1"/>
    </w:lvl>
  </w:abstractNum>
  <w:abstractNum w:abstractNumId="90">
    <w:nsid w:val="434BAE75"/>
    <w:multiLevelType w:val="hybridMultilevel"/>
    <w:lvl w:ilvl="0">
      <w:lvlJc w:val="left"/>
      <w:lvlText w:val="(%1)"/>
      <w:numFmt w:val="decimal"/>
      <w:start w:val="1"/>
    </w:lvl>
  </w:abstractNum>
  <w:abstractNum w:abstractNumId="91">
    <w:nsid w:val="4F38F265"/>
    <w:multiLevelType w:val="hybridMultilevel"/>
    <w:lvl w:ilvl="0">
      <w:lvlJc w:val="left"/>
      <w:lvlText w:val="(%1)"/>
      <w:numFmt w:val="decimal"/>
      <w:start w:val="2"/>
    </w:lvl>
  </w:abstractNum>
  <w:abstractNum w:abstractNumId="92">
    <w:nsid w:val="4C502870"/>
    <w:multiLevelType w:val="hybridMultilevel"/>
    <w:lvl w:ilvl="0">
      <w:lvlJc w:val="left"/>
      <w:lvlText w:val="•"/>
      <w:numFmt w:val="bullet"/>
      <w:start w:val="1"/>
    </w:lvl>
  </w:abstractNum>
  <w:abstractNum w:abstractNumId="93">
    <w:nsid w:val="1DE8725A"/>
    <w:multiLevelType w:val="hybridMultilevel"/>
    <w:lvl w:ilvl="0">
      <w:lvlJc w:val="left"/>
      <w:lvlText w:val="(%1)"/>
      <w:numFmt w:val="decimal"/>
      <w:start w:val="1"/>
    </w:lvl>
  </w:abstractNum>
  <w:abstractNum w:abstractNumId="94">
    <w:nsid w:val="6A37288A"/>
    <w:multiLevelType w:val="hybridMultilevel"/>
    <w:lvl w:ilvl="0">
      <w:lvlJc w:val="left"/>
      <w:lvlText w:val="(%1)"/>
      <w:numFmt w:val="decimal"/>
      <w:start w:val="3"/>
    </w:lvl>
  </w:abstractNum>
  <w:abstractNum w:abstractNumId="95">
    <w:nsid w:val="8F8B73F"/>
    <w:multiLevelType w:val="hybridMultilevel"/>
    <w:lvl w:ilvl="0">
      <w:lvlJc w:val="left"/>
      <w:lvlText w:val="(%1)"/>
      <w:numFmt w:val="decimal"/>
      <w:start w:val="1"/>
    </w:lvl>
  </w:abstractNum>
  <w:abstractNum w:abstractNumId="96">
    <w:nsid w:val="CA6B462"/>
    <w:multiLevelType w:val="hybridMultilevel"/>
    <w:lvl w:ilvl="0">
      <w:lvlJc w:val="left"/>
      <w:lvlText w:val="•"/>
      <w:numFmt w:val="bullet"/>
      <w:start w:val="1"/>
    </w:lvl>
  </w:abstractNum>
  <w:abstractNum w:abstractNumId="97">
    <w:nsid w:val="763CB680"/>
    <w:multiLevelType w:val="hybridMultilevel"/>
    <w:lvl w:ilvl="0">
      <w:lvlJc w:val="left"/>
      <w:lvlText w:val="*"/>
      <w:numFmt w:val="bullet"/>
      <w:start w:val="1"/>
    </w:lvl>
  </w:abstractNum>
  <w:abstractNum w:abstractNumId="98">
    <w:nsid w:val="15B71329"/>
    <w:multiLevelType w:val="hybridMultilevel"/>
    <w:lvl w:ilvl="0">
      <w:lvlJc w:val="left"/>
      <w:lvlText w:val="(%1)"/>
      <w:numFmt w:val="decimal"/>
      <w:start w:val="1"/>
    </w:lvl>
  </w:abstractNum>
  <w:abstractNum w:abstractNumId="99">
    <w:nsid w:val="3DA97044"/>
    <w:multiLevelType w:val="hybridMultilevel"/>
    <w:lvl w:ilvl="0">
      <w:lvlJc w:val="left"/>
      <w:lvlText w:val="(%1)"/>
      <w:numFmt w:val="decimal"/>
      <w:start w:val="4"/>
    </w:lvl>
  </w:abstractNum>
  <w:abstractNum w:abstractNumId="100">
    <w:nsid w:val="1CDCE2DE"/>
    <w:multiLevelType w:val="hybridMultilevel"/>
    <w:lvl w:ilvl="0">
      <w:lvlJc w:val="left"/>
      <w:lvlText w:val="(%1)"/>
      <w:numFmt w:val="lowerRoman"/>
      <w:start w:val="2"/>
    </w:lvl>
  </w:abstractNum>
  <w:abstractNum w:abstractNumId="101">
    <w:nsid w:val="69D3947C"/>
    <w:multiLevelType w:val="hybridMultilevel"/>
    <w:lvl w:ilvl="0">
      <w:lvlJc w:val="left"/>
      <w:lvlText w:val="•"/>
      <w:numFmt w:val="bullet"/>
      <w:start w:val="1"/>
    </w:lvl>
  </w:abstractNum>
  <w:abstractNum w:abstractNumId="102">
    <w:nsid w:val="2539DFA5"/>
    <w:multiLevelType w:val="hybridMultilevel"/>
    <w:lvl w:ilvl="0">
      <w:lvlJc w:val="left"/>
      <w:lvlText w:val="•"/>
      <w:numFmt w:val="bullet"/>
      <w:start w:val="1"/>
    </w:lvl>
  </w:abstractNum>
  <w:abstractNum w:abstractNumId="103">
    <w:nsid w:val="2DB88089"/>
    <w:multiLevelType w:val="hybridMultilevel"/>
    <w:lvl w:ilvl="0">
      <w:lvlJc w:val="left"/>
      <w:lvlText w:val="%1."/>
      <w:numFmt w:val="decimal"/>
      <w:start w:val="1"/>
    </w:lvl>
  </w:abstractNum>
  <w:abstractNum w:abstractNumId="104">
    <w:nsid w:val="706B674E"/>
    <w:multiLevelType w:val="hybridMultilevel"/>
    <w:lvl w:ilvl="0">
      <w:lvlJc w:val="left"/>
      <w:lvlText w:val="%1."/>
      <w:numFmt w:val="decimal"/>
      <w:start w:val="7"/>
    </w:lvl>
  </w:abstractNum>
  <w:abstractNum w:abstractNumId="105">
    <w:nsid w:val="2C106A57"/>
    <w:multiLevelType w:val="hybridMultilevel"/>
    <w:lvl w:ilvl="0">
      <w:lvlJc w:val="left"/>
      <w:lvlText w:val="%1."/>
      <w:numFmt w:val="decimal"/>
      <w:start w:val="1"/>
    </w:lvl>
  </w:abstractNum>
  <w:abstractNum w:abstractNumId="106">
    <w:nsid w:val="684EED59"/>
    <w:multiLevelType w:val="hybridMultilevel"/>
    <w:lvl w:ilvl="0">
      <w:lvlJc w:val="left"/>
      <w:lvlText w:val="•"/>
      <w:numFmt w:val="bullet"/>
      <w:start w:val="1"/>
    </w:lvl>
  </w:abstractNum>
  <w:abstractNum w:abstractNumId="107">
    <w:nsid w:val="545EE5D3"/>
    <w:multiLevelType w:val="hybridMultilevel"/>
    <w:lvl w:ilvl="0">
      <w:lvlJc w:val="left"/>
      <w:lvlText w:val="•"/>
      <w:numFmt w:val="bullet"/>
      <w:start w:val="1"/>
    </w:lvl>
  </w:abstractNum>
  <w:abstractNum w:abstractNumId="108">
    <w:nsid w:val="4A66051"/>
    <w:multiLevelType w:val="hybridMultilevel"/>
    <w:lvl w:ilvl="0">
      <w:lvlJc w:val="left"/>
      <w:lvlText w:val="•"/>
      <w:numFmt w:val="bullet"/>
      <w:start w:val="1"/>
    </w:lvl>
  </w:abstractNum>
  <w:abstractNum w:abstractNumId="109">
    <w:nsid w:val="20F4BDAD"/>
    <w:multiLevelType w:val="hybridMultilevel"/>
    <w:lvl w:ilvl="0">
      <w:lvlJc w:val="left"/>
      <w:lvlText w:val="•"/>
      <w:numFmt w:val="bullet"/>
      <w:start w:val="1"/>
    </w:lvl>
  </w:abstractNum>
  <w:abstractNum w:abstractNumId="110">
    <w:nsid w:val="639DEFAC"/>
    <w:multiLevelType w:val="hybridMultilevel"/>
    <w:lvl w:ilvl="0">
      <w:lvlJc w:val="left"/>
      <w:lvlText w:val="•"/>
      <w:numFmt w:val="bullet"/>
      <w:start w:val="1"/>
    </w:lvl>
  </w:abstractNum>
  <w:abstractNum w:abstractNumId="111">
    <w:nsid w:val="501F9786"/>
    <w:multiLevelType w:val="hybridMultilevel"/>
    <w:lvl w:ilvl="0">
      <w:lvlJc w:val="left"/>
      <w:lvlText w:val="•"/>
      <w:numFmt w:val="bullet"/>
      <w:start w:val="1"/>
    </w:lvl>
  </w:abstractNum>
  <w:abstractNum w:abstractNumId="112">
    <w:nsid w:val="6B057295"/>
    <w:multiLevelType w:val="hybridMultilevel"/>
    <w:lvl w:ilvl="0">
      <w:lvlJc w:val="left"/>
      <w:lvlText w:val="(%1)"/>
      <w:numFmt w:val="lowerLetter"/>
      <w:start w:val="1"/>
    </w:lvl>
  </w:abstractNum>
  <w:abstractNum w:abstractNumId="113">
    <w:nsid w:val="2771AC80"/>
    <w:multiLevelType w:val="hybridMultilevel"/>
    <w:lvl w:ilvl="0">
      <w:lvlJc w:val="left"/>
      <w:lvlText w:val="%1."/>
      <w:numFmt w:val="decimal"/>
      <w:start w:val="1"/>
    </w:lvl>
  </w:abstractNum>
  <w:abstractNum w:abstractNumId="114">
    <w:nsid w:val="1C4A08EC"/>
    <w:multiLevelType w:val="hybridMultilevel"/>
    <w:lvl w:ilvl="0">
      <w:lvlJc w:val="left"/>
      <w:lvlText w:val="(%1)"/>
      <w:numFmt w:val="lowerRoman"/>
      <w:start w:val="1"/>
    </w:lvl>
  </w:abstractNum>
  <w:abstractNum w:abstractNumId="115">
    <w:nsid w:val="1958BD17"/>
    <w:multiLevelType w:val="hybridMultilevel"/>
    <w:lvl w:ilvl="0">
      <w:lvlJc w:val="left"/>
      <w:lvlText w:val="(%1)"/>
      <w:numFmt w:val="lowerRoman"/>
      <w:start w:val="2"/>
    </w:lvl>
  </w:abstractNum>
  <w:abstractNum w:abstractNumId="116">
    <w:nsid w:val="4E647FE4"/>
    <w:multiLevelType w:val="hybridMultilevel"/>
    <w:lvl w:ilvl="0">
      <w:lvlJc w:val="left"/>
      <w:lvlText w:val="%1."/>
      <w:numFmt w:val="decimal"/>
      <w:start w:val="2"/>
    </w:lvl>
  </w:abstractNum>
  <w:abstractNum w:abstractNumId="117">
    <w:nsid w:val="E0BB885"/>
    <w:multiLevelType w:val="hybridMultilevel"/>
    <w:lvl w:ilvl="0">
      <w:lvlJc w:val="left"/>
      <w:lvlText w:val="%1."/>
      <w:numFmt w:val="decimal"/>
      <w:start w:val="3"/>
    </w:lvl>
  </w:abstractNum>
  <w:abstractNum w:abstractNumId="118">
    <w:nsid w:val="565976F1"/>
    <w:multiLevelType w:val="hybridMultilevel"/>
    <w:lvl w:ilvl="0">
      <w:lvlJc w:val="left"/>
      <w:lvlText w:val="(%1)"/>
      <w:numFmt w:val="lowerLetter"/>
      <w:start w:val="1"/>
    </w:lvl>
  </w:abstractNum>
  <w:abstractNum w:abstractNumId="119">
    <w:nsid w:val="64212B8C"/>
    <w:multiLevelType w:val="hybridMultilevel"/>
    <w:lvl w:ilvl="0">
      <w:lvlJc w:val="left"/>
      <w:lvlText w:val="(%1)"/>
      <w:numFmt w:val="lowerLetter"/>
      <w:start w:val="2"/>
    </w:lvl>
  </w:abstractNum>
  <w:abstractNum w:abstractNumId="120">
    <w:nsid w:val="5C17530C"/>
    <w:multiLevelType w:val="hybridMultilevel"/>
    <w:lvl w:ilvl="0">
      <w:lvlJc w:val="left"/>
      <w:lvlText w:val="*"/>
      <w:numFmt w:val="bullet"/>
      <w:start w:val="1"/>
    </w:lvl>
  </w:abstractNum>
  <w:abstractNum w:abstractNumId="121">
    <w:nsid w:val="19A52566"/>
    <w:multiLevelType w:val="hybridMultilevel"/>
    <w:lvl w:ilvl="0">
      <w:lvlJc w:val="left"/>
      <w:lvlText w:val="**"/>
      <w:numFmt w:val="bullet"/>
      <w:start w:val="1"/>
    </w:lvl>
  </w:abstractNum>
  <w:abstractNum w:abstractNumId="122">
    <w:nsid w:val="335A1DF1"/>
    <w:multiLevelType w:val="hybridMultilevel"/>
    <w:lvl w:ilvl="0">
      <w:lvlJc w:val="left"/>
      <w:lvlText w:val="#"/>
      <w:numFmt w:val="bullet"/>
      <w:start w:val="1"/>
    </w:lvl>
  </w:abstractNum>
  <w:abstractNum w:abstractNumId="123">
    <w:nsid w:val="28677B7C"/>
    <w:multiLevelType w:val="hybridMultilevel"/>
    <w:lvl w:ilvl="0">
      <w:lvlJc w:val="left"/>
      <w:lvlText w:val="(%1)"/>
      <w:numFmt w:val="decimal"/>
      <w:start w:val="1"/>
    </w:lvl>
  </w:abstractNum>
  <w:abstractNum w:abstractNumId="124">
    <w:nsid w:val="378D97C0"/>
    <w:multiLevelType w:val="hybridMultilevel"/>
    <w:lvl w:ilvl="0">
      <w:lvlJc w:val="left"/>
      <w:lvlText w:val="%1."/>
      <w:numFmt w:val="decimal"/>
      <w:start w:val="1"/>
    </w:lvl>
    <w:lvl w:ilvl="1">
      <w:lvlJc w:val="left"/>
      <w:lvlText w:val="(%2)"/>
      <w:numFmt w:val="lowerLetter"/>
      <w:start w:val="1"/>
    </w:lvl>
  </w:abstractNum>
  <w:abstractNum w:abstractNumId="125">
    <w:nsid w:val="1D91467C"/>
    <w:multiLevelType w:val="hybridMultilevel"/>
    <w:lvl w:ilvl="0">
      <w:lvlJc w:val="left"/>
      <w:lvlText w:val="%1."/>
      <w:numFmt w:val="decimal"/>
      <w:start w:val="3"/>
    </w:lvl>
    <w:lvl w:ilvl="1">
      <w:lvlJc w:val="left"/>
      <w:lvlText w:val="(%2)"/>
      <w:numFmt w:val="lowerLetter"/>
      <w:start w:val="1"/>
    </w:lvl>
  </w:abstractNum>
  <w:abstractNum w:abstractNumId="126">
    <w:nsid w:val="316032BB"/>
    <w:multiLevelType w:val="hybridMultilevel"/>
    <w:lvl w:ilvl="0">
      <w:lvlJc w:val="left"/>
      <w:lvlText w:val="%1"/>
      <w:numFmt w:val="decimal"/>
      <w:start w:val="1"/>
    </w:lvl>
    <w:lvl w:ilvl="1">
      <w:lvlJc w:val="left"/>
      <w:lvlText w:val="(%2)"/>
      <w:numFmt w:val="lowerLetter"/>
      <w:start w:val="3"/>
    </w:lvl>
  </w:abstractNum>
  <w:abstractNum w:abstractNumId="127">
    <w:nsid w:val="44344C22"/>
    <w:multiLevelType w:val="hybridMultilevel"/>
    <w:lvl w:ilvl="0">
      <w:lvlJc w:val="left"/>
      <w:lvlText w:val="%1."/>
      <w:numFmt w:val="decimal"/>
      <w:start w:val="4"/>
    </w:lvl>
    <w:lvl w:ilvl="1">
      <w:lvlJc w:val="left"/>
      <w:lvlText w:val="(%2)"/>
      <w:numFmt w:val="lowerLetter"/>
      <w:start w:val="1"/>
    </w:lvl>
  </w:abstractNum>
  <w:abstractNum w:abstractNumId="128">
    <w:nsid w:val="13CDFCF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9">
    <w:nsid w:val="471745E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30">
    <w:nsid w:val="1DDBC66"/>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31">
    <w:nsid w:val="30AADFDA"/>
    <w:multiLevelType w:val="hybridMultilevel"/>
    <w:lvl w:ilvl="0">
      <w:lvlJc w:val="left"/>
      <w:lvlText w:val="(%1)"/>
      <w:numFmt w:val="lowerRoman"/>
      <w:start w:val="3"/>
    </w:lvl>
  </w:abstractNum>
  <w:abstractNum w:abstractNumId="132">
    <w:nsid w:val="30EADA61"/>
    <w:multiLevelType w:val="hybridMultilevel"/>
    <w:lvl w:ilvl="0">
      <w:lvlJc w:val="left"/>
      <w:lvlText w:val="(%1)"/>
      <w:numFmt w:val="lowerLetter"/>
      <w:start w:val="4"/>
    </w:lvl>
  </w:abstractNum>
  <w:abstractNum w:abstractNumId="133">
    <w:nsid w:val="27179C0B"/>
    <w:multiLevelType w:val="hybridMultilevel"/>
    <w:lvl w:ilvl="0">
      <w:lvlJc w:val="left"/>
      <w:lvlText w:val="(%1)"/>
      <w:numFmt w:val="upperLetter"/>
      <w:start w:val="9"/>
    </w:lvl>
  </w:abstractNum>
  <w:abstractNum w:abstractNumId="134">
    <w:nsid w:val="5E636063"/>
    <w:multiLevelType w:val="hybridMultilevel"/>
    <w:lvl w:ilvl="0">
      <w:lvlJc w:val="left"/>
      <w:lvlText w:val="(%1)"/>
      <w:numFmt w:val="upperLetter"/>
      <w:start w:val="35"/>
    </w:lvl>
  </w:abstractNum>
  <w:abstractNum w:abstractNumId="135">
    <w:nsid w:val="215641AF"/>
    <w:multiLevelType w:val="hybridMultilevel"/>
    <w:lvl w:ilvl="0">
      <w:lvlJc w:val="left"/>
      <w:lvlText w:val="(%1)"/>
      <w:numFmt w:val="lowerLetter"/>
      <w:start w:val="6"/>
    </w:lvl>
  </w:abstractNum>
  <w:abstractNum w:abstractNumId="136">
    <w:nsid w:val="53280662"/>
    <w:multiLevelType w:val="hybridMultilevel"/>
    <w:lvl w:ilvl="0">
      <w:lvlJc w:val="left"/>
      <w:lvlText w:val="%1"/>
      <w:numFmt w:val="decimal"/>
      <w:start w:val="1"/>
    </w:lvl>
    <w:lvl w:ilvl="1">
      <w:lvlJc w:val="left"/>
      <w:lvlText w:val="(%2)"/>
      <w:numFmt w:val="lowerLetter"/>
      <w:start w:val="7"/>
    </w:lvl>
  </w:abstractNum>
  <w:abstractNum w:abstractNumId="137">
    <w:nsid w:val="46B24DBC"/>
    <w:multiLevelType w:val="hybridMultilevel"/>
    <w:lvl w:ilvl="0">
      <w:lvlJc w:val="left"/>
      <w:lvlText w:val="%1."/>
      <w:numFmt w:val="decimal"/>
      <w:start w:val="6"/>
    </w:lvl>
    <w:lvl w:ilvl="1">
      <w:lvlJc w:val="left"/>
      <w:lvlText w:val="(%2)"/>
      <w:numFmt w:val="lowerLetter"/>
      <w:start w:val="1"/>
    </w:lvl>
  </w:abstractNum>
  <w:abstractNum w:abstractNumId="138">
    <w:nsid w:val="75B52783"/>
    <w:multiLevelType w:val="hybridMultilevel"/>
    <w:lvl w:ilvl="0">
      <w:lvlJc w:val="left"/>
      <w:lvlText w:val="%1"/>
      <w:numFmt w:val="decimal"/>
      <w:start w:val="1"/>
    </w:lvl>
    <w:lvl w:ilvl="1">
      <w:lvlJc w:val="left"/>
      <w:lvlText w:val="(%2)"/>
      <w:numFmt w:val="lowerLetter"/>
      <w:start w:val="5"/>
    </w:lvl>
  </w:abstractNum>
  <w:abstractNum w:abstractNumId="139">
    <w:nsid w:val="57CE66B4"/>
    <w:multiLevelType w:val="hybridMultilevel"/>
    <w:lvl w:ilvl="0">
      <w:lvlJc w:val="left"/>
      <w:lvlText w:val="%1."/>
      <w:numFmt w:val="decimal"/>
      <w:start w:val="7"/>
    </w:lvl>
    <w:lvl w:ilvl="1">
      <w:lvlJc w:val="left"/>
      <w:lvlText w:val="(%2)"/>
      <w:numFmt w:val="lowerLetter"/>
      <w:start w:val="1"/>
    </w:lvl>
  </w:abstractNum>
  <w:abstractNum w:abstractNumId="140">
    <w:nsid w:val="67A70B69"/>
    <w:multiLevelType w:val="hybridMultilevel"/>
    <w:lvl w:ilvl="0">
      <w:lvlJc w:val="left"/>
      <w:lvlText w:val="%1"/>
      <w:numFmt w:val="decimal"/>
      <w:start w:val="1"/>
    </w:lvl>
    <w:lvl w:ilvl="1">
      <w:lvlJc w:val="left"/>
      <w:lvlText w:val="(%2)"/>
      <w:numFmt w:val="lowerLetter"/>
      <w:start w:val="5"/>
    </w:lvl>
  </w:abstractNum>
  <w:abstractNum w:abstractNumId="141">
    <w:nsid w:val="5953172F"/>
    <w:multiLevelType w:val="hybridMultilevel"/>
    <w:lvl w:ilvl="0">
      <w:lvlJc w:val="left"/>
      <w:lvlText w:val="%1."/>
      <w:numFmt w:val="decimal"/>
      <w:start w:val="8"/>
    </w:lvl>
    <w:lvl w:ilvl="1">
      <w:lvlJc w:val="left"/>
      <w:lvlText w:val="(%2)"/>
      <w:numFmt w:val="lowerLetter"/>
      <w:start w:val="1"/>
    </w:lvl>
  </w:abstractNum>
  <w:abstractNum w:abstractNumId="142">
    <w:nsid w:val="27EDFE3A"/>
    <w:multiLevelType w:val="hybridMultilevel"/>
    <w:lvl w:ilvl="0">
      <w:lvlJc w:val="left"/>
      <w:lvlText w:val="%1"/>
      <w:numFmt w:val="decimal"/>
      <w:start w:val="1"/>
    </w:lvl>
    <w:lvl w:ilvl="1">
      <w:lvlJc w:val="left"/>
      <w:lvlText w:val="(%2)"/>
      <w:numFmt w:val="lowerLetter"/>
      <w:start w:val="2"/>
    </w:lvl>
  </w:abstractNum>
  <w:abstractNum w:abstractNumId="143">
    <w:nsid w:val="52AC7DFF"/>
    <w:multiLevelType w:val="hybridMultilevel"/>
    <w:lvl w:ilvl="0">
      <w:lvlJc w:val="left"/>
      <w:lvlText w:val="%1."/>
      <w:numFmt w:val="decimal"/>
      <w:start w:val="11"/>
    </w:lvl>
    <w:lvl w:ilvl="1">
      <w:lvlJc w:val="left"/>
      <w:lvlText w:val="(%2)"/>
      <w:numFmt w:val="lowerLetter"/>
      <w:start w:val="1"/>
    </w:lvl>
  </w:abstractNum>
  <w:abstractNum w:abstractNumId="144">
    <w:nsid w:val="C4C3AF"/>
    <w:multiLevelType w:val="hybridMultilevel"/>
    <w:lvl w:ilvl="0">
      <w:lvlJc w:val="left"/>
      <w:lvlText w:val="%1"/>
      <w:numFmt w:val="decimal"/>
      <w:start w:val="1"/>
    </w:lvl>
    <w:lvl w:ilvl="1">
      <w:lvlJc w:val="left"/>
      <w:lvlText w:val="(%2)"/>
      <w:numFmt w:val="lowerLetter"/>
      <w:start w:val="2"/>
    </w:lvl>
  </w:abstractNum>
  <w:abstractNum w:abstractNumId="145">
    <w:nsid w:val="44380727"/>
    <w:multiLevelType w:val="hybridMultilevel"/>
    <w:lvl w:ilvl="0">
      <w:lvlJc w:val="left"/>
      <w:lvlText w:val="%1."/>
      <w:numFmt w:val="decimal"/>
      <w:start w:val="12"/>
    </w:lvl>
    <w:lvl w:ilvl="1">
      <w:lvlJc w:val="left"/>
      <w:lvlText w:val="(%2)"/>
      <w:numFmt w:val="lowerLetter"/>
      <w:start w:val="1"/>
    </w:lvl>
  </w:abstractNum>
  <w:abstractNum w:abstractNumId="146">
    <w:nsid w:val="6C053B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7">
    <w:nsid w:val="4F29439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8">
    <w:nsid w:val="5243BFA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49">
    <w:nsid w:val="425EB207"/>
    <w:multiLevelType w:val="hybridMultilevel"/>
    <w:lvl w:ilvl="0">
      <w:lvlJc w:val="left"/>
      <w:lvlText w:val="(%1)"/>
      <w:numFmt w:val="lowerLetter"/>
      <w:start w:val="1"/>
    </w:lvl>
    <w:lvl w:ilvl="1">
      <w:lvlJc w:val="left"/>
      <w:lvlText w:val="(%2)"/>
      <w:numFmt w:val="lowerRoman"/>
      <w:start w:val="1"/>
    </w:lvl>
  </w:abstractNum>
  <w:abstractNum w:abstractNumId="150">
    <w:nsid w:val="334A6F1F"/>
    <w:multiLevelType w:val="hybridMultilevel"/>
    <w:lvl w:ilvl="0">
      <w:lvlJc w:val="left"/>
      <w:lvlText w:val="%1"/>
      <w:numFmt w:val="lowerLetter"/>
      <w:start w:val="1"/>
    </w:lvl>
    <w:lvl w:ilvl="1">
      <w:lvlJc w:val="left"/>
      <w:lvlText w:val="(%2)"/>
      <w:numFmt w:val="lowerRoman"/>
      <w:start w:val="9"/>
    </w:lvl>
    <w:lvl w:ilvl="2">
      <w:lvlJc w:val="left"/>
      <w:lvlText w:val="%3"/>
      <w:numFmt w:val="lowerRoman"/>
      <w:start w:val="1"/>
    </w:lvl>
  </w:abstractNum>
  <w:abstractNum w:abstractNumId="151">
    <w:nsid w:val="2E5B12B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9"/>
    </w:lvl>
  </w:abstractNum>
  <w:abstractNum w:abstractNumId="152">
    <w:nsid w:val="5C03D76D"/>
    <w:multiLevelType w:val="hybridMultilevel"/>
    <w:lvl w:ilvl="0">
      <w:lvlJc w:val="left"/>
      <w:lvlText w:val="(%1)"/>
      <w:numFmt w:val="lowerRoman"/>
      <w:start w:val="1"/>
    </w:lvl>
  </w:abstractNum>
  <w:abstractNum w:abstractNumId="153">
    <w:nsid w:val="66A48D11"/>
    <w:multiLevelType w:val="hybridMultilevel"/>
    <w:lvl w:ilvl="0">
      <w:lvlJc w:val="left"/>
      <w:lvlText w:val="%1"/>
      <w:numFmt w:val="decimal"/>
      <w:start w:val="1"/>
    </w:lvl>
    <w:lvl w:ilvl="1">
      <w:lvlJc w:val="left"/>
      <w:lvlText w:val="(%2)"/>
      <w:numFmt w:val="lowerLetter"/>
      <w:start w:val="4"/>
    </w:lvl>
  </w:abstractNum>
  <w:abstractNum w:abstractNumId="154">
    <w:nsid w:val="56C28E34"/>
    <w:multiLevelType w:val="hybridMultilevel"/>
    <w:lvl w:ilvl="0">
      <w:lvlJc w:val="left"/>
      <w:lvlText w:val="%1."/>
      <w:numFmt w:val="decimal"/>
      <w:start w:val="14"/>
    </w:lvl>
    <w:lvl w:ilvl="1">
      <w:lvlJc w:val="left"/>
      <w:lvlText w:val="%2"/>
      <w:numFmt w:val="lowerLetter"/>
      <w:start w:val="1"/>
    </w:lvl>
  </w:abstractNum>
  <w:abstractNum w:abstractNumId="155">
    <w:nsid w:val="13916F2D"/>
    <w:multiLevelType w:val="hybridMultilevel"/>
    <w:lvl w:ilvl="0">
      <w:lvlJc w:val="left"/>
      <w:lvlText w:val="%1."/>
      <w:numFmt w:val="decimal"/>
      <w:start w:val="15"/>
    </w:lvl>
    <w:lvl w:ilvl="1">
      <w:lvlJc w:val="left"/>
      <w:lvlText w:val="(%2)"/>
      <w:numFmt w:val="lowerLetter"/>
      <w:start w:val="1"/>
    </w:lvl>
  </w:abstractNum>
  <w:abstractNum w:abstractNumId="156">
    <w:nsid w:val="435D38D"/>
    <w:multiLevelType w:val="hybridMultilevel"/>
    <w:lvl w:ilvl="0">
      <w:lvlJc w:val="left"/>
      <w:lvlText w:val="(%1)"/>
      <w:numFmt w:val="lowerLetter"/>
      <w:start w:val="3"/>
    </w:lvl>
  </w:abstractNum>
  <w:abstractNum w:abstractNumId="157">
    <w:nsid w:val="822C0EF"/>
    <w:multiLevelType w:val="hybridMultilevel"/>
    <w:lvl w:ilvl="0">
      <w:lvlJc w:val="left"/>
      <w:lvlText w:val="%1"/>
      <w:numFmt w:val="decimal"/>
      <w:start w:val="1"/>
    </w:lvl>
    <w:lvl w:ilvl="1">
      <w:lvlJc w:val="left"/>
      <w:lvlText w:val="(%2)"/>
      <w:numFmt w:val="lowerLetter"/>
      <w:start w:val="5"/>
    </w:lvl>
  </w:abstractNum>
  <w:abstractNum w:abstractNumId="158">
    <w:nsid w:val="57C5BB4F"/>
    <w:multiLevelType w:val="hybridMultilevel"/>
    <w:lvl w:ilvl="0">
      <w:lvlJc w:val="left"/>
      <w:lvlText w:val="%1."/>
      <w:numFmt w:val="decimal"/>
      <w:start w:val="19"/>
    </w:lvl>
    <w:lvl w:ilvl="1">
      <w:lvlJc w:val="left"/>
      <w:lvlText w:val="%2"/>
      <w:numFmt w:val="lowerLetter"/>
      <w:start w:val="1"/>
    </w:lvl>
  </w:abstractNum>
  <w:abstractNum w:abstractNumId="159">
    <w:nsid w:val="1803D089"/>
    <w:multiLevelType w:val="hybridMultilevel"/>
    <w:lvl w:ilvl="0">
      <w:lvlJc w:val="left"/>
      <w:lvlText w:val="%1."/>
      <w:numFmt w:val="decimal"/>
      <w:start w:val="20"/>
    </w:lvl>
    <w:lvl w:ilvl="1">
      <w:lvlJc w:val="left"/>
      <w:lvlText w:val="(%2)"/>
      <w:numFmt w:val="lowerLetter"/>
      <w:start w:val="1"/>
    </w:lvl>
  </w:abstractNum>
  <w:abstractNum w:abstractNumId="160">
    <w:nsid w:val="4F3A06D4"/>
    <w:multiLevelType w:val="hybridMultilevel"/>
    <w:lvl w:ilvl="0">
      <w:lvlJc w:val="left"/>
      <w:lvlText w:val="(%1)"/>
      <w:numFmt w:val="lowerLetter"/>
      <w:start w:val="3"/>
    </w:lvl>
  </w:abstractNum>
  <w:abstractNum w:abstractNumId="161">
    <w:nsid w:val="59A377B6"/>
    <w:multiLevelType w:val="hybridMultilevel"/>
    <w:lvl w:ilvl="0">
      <w:lvlJc w:val="left"/>
      <w:lvlText w:val="(%1)"/>
      <w:numFmt w:val="lowerRoman"/>
      <w:start w:val="1"/>
    </w:lvl>
    <w:lvl w:ilvl="1">
      <w:lvlJc w:val="left"/>
      <w:lvlText w:val="(%2)"/>
      <w:numFmt w:val="decimal"/>
      <w:start w:val="1"/>
    </w:lvl>
  </w:abstractNum>
  <w:abstractNum w:abstractNumId="162">
    <w:nsid w:val="48AEB063"/>
    <w:multiLevelType w:val="hybridMultilevel"/>
    <w:lvl w:ilvl="0">
      <w:lvlJc w:val="left"/>
      <w:lvlText w:val="%1"/>
      <w:numFmt w:val="lowerRoman"/>
      <w:start w:val="1"/>
    </w:lvl>
    <w:lvl w:ilvl="1">
      <w:lvlJc w:val="left"/>
      <w:lvlText w:val="(%2)"/>
      <w:numFmt w:val="decimal"/>
      <w:start w:val="2"/>
    </w:lvl>
  </w:abstractNum>
  <w:abstractNum w:abstractNumId="163">
    <w:nsid w:val="24E135"/>
    <w:multiLevelType w:val="hybridMultilevel"/>
    <w:lvl w:ilvl="0">
      <w:lvlJc w:val="left"/>
      <w:lvlText w:val="(%1)"/>
      <w:numFmt w:val="lowerRoman"/>
      <w:start w:val="2"/>
    </w:lvl>
    <w:lvl w:ilvl="1">
      <w:lvlJc w:val="left"/>
      <w:lvlText w:val="(%2)"/>
      <w:numFmt w:val="decimal"/>
      <w:start w:val="1"/>
    </w:lvl>
  </w:abstractNum>
  <w:abstractNum w:abstractNumId="164">
    <w:nsid w:val="BB13C1"/>
    <w:multiLevelType w:val="hybridMultilevel"/>
    <w:lvl w:ilvl="0">
      <w:lvlJc w:val="left"/>
      <w:lvlText w:val="%1."/>
      <w:numFmt w:val="decimal"/>
      <w:start w:val="23"/>
    </w:lvl>
  </w:abstractNum>
  <w:abstractNum w:abstractNumId="165">
    <w:nsid w:val="271210C7"/>
    <w:multiLevelType w:val="hybridMultilevel"/>
    <w:lvl w:ilvl="0">
      <w:lvlJc w:val="left"/>
      <w:lvlText w:val="(%1)"/>
      <w:numFmt w:val="lowerRoman"/>
      <w:start w:val="1"/>
    </w:lvl>
  </w:abstractNum>
  <w:abstractNum w:abstractNumId="166">
    <w:nsid w:val="217B22E4"/>
    <w:multiLevelType w:val="hybridMultilevel"/>
    <w:lvl w:ilvl="0">
      <w:lvlJc w:val="left"/>
      <w:lvlText w:val="(%1)"/>
      <w:numFmt w:val="lowerRoman"/>
      <w:start w:val="3"/>
    </w:lvl>
  </w:abstractNum>
  <w:abstractNum w:abstractNumId="167">
    <w:nsid w:val="53E31A24"/>
    <w:multiLevelType w:val="hybridMultilevel"/>
    <w:lvl w:ilvl="0">
      <w:lvlJc w:val="left"/>
      <w:lvlText w:val="(%1)"/>
      <w:numFmt w:val="lowerRoman"/>
      <w:start w:val="1"/>
    </w:lvl>
  </w:abstractNum>
  <w:abstractNum w:abstractNumId="168">
    <w:nsid w:val="6DC45E83"/>
    <w:multiLevelType w:val="hybridMultilevel"/>
    <w:lvl w:ilvl="0">
      <w:lvlJc w:val="left"/>
      <w:lvlText w:val="(%1)"/>
      <w:numFmt w:val="lowerRoman"/>
      <w:start w:val="1"/>
    </w:lvl>
  </w:abstractNum>
  <w:abstractNum w:abstractNumId="169">
    <w:nsid w:val="17304A67"/>
    <w:multiLevelType w:val="hybridMultilevel"/>
    <w:lvl w:ilvl="0">
      <w:lvlJc w:val="left"/>
      <w:lvlText w:val="(%1)"/>
      <w:numFmt w:val="lowerRoman"/>
      <w:start w:val="1"/>
    </w:lvl>
  </w:abstractNum>
  <w:abstractNum w:abstractNumId="170">
    <w:nsid w:val="2BB180D8"/>
    <w:multiLevelType w:val="hybridMultilevel"/>
    <w:lvl w:ilvl="0">
      <w:lvlJc w:val="left"/>
      <w:lvlText w:val="%1."/>
      <w:numFmt w:val="decimal"/>
      <w:start w:val="1"/>
    </w:lvl>
  </w:abstractNum>
  <w:abstractNum w:abstractNumId="171">
    <w:nsid w:val="556B69ED"/>
    <w:multiLevelType w:val="hybridMultilevel"/>
    <w:lvl w:ilvl="0">
      <w:lvlJc w:val="left"/>
      <w:lvlText w:val="%1."/>
      <w:numFmt w:val="decimal"/>
      <w:start w:val="2"/>
    </w:lvl>
    <w:lvl w:ilvl="1">
      <w:lvlJc w:val="left"/>
      <w:lvlText w:val="(%2)"/>
      <w:numFmt w:val="lowerLetter"/>
      <w:start w:val="1"/>
    </w:lvl>
  </w:abstractNum>
  <w:abstractNum w:abstractNumId="172">
    <w:nsid w:val="70836196"/>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173">
    <w:nsid w:val="539F7F12"/>
    <w:multiLevelType w:val="hybridMultilevel"/>
    <w:lvl w:ilvl="0">
      <w:lvlJc w:val="left"/>
      <w:lvlText w:val="(%1)"/>
      <w:numFmt w:val="lowerRoman"/>
      <w:start w:val="1"/>
    </w:lvl>
  </w:abstractNum>
  <w:abstractNum w:abstractNumId="174">
    <w:nsid w:val="2817E7EC"/>
    <w:multiLevelType w:val="hybridMultilevel"/>
    <w:lvl w:ilvl="0">
      <w:lvlJc w:val="left"/>
      <w:lvlText w:val="%1"/>
      <w:numFmt w:val="lowerLetter"/>
      <w:start w:val="1"/>
    </w:lvl>
    <w:lvl w:ilvl="1">
      <w:lvlJc w:val="left"/>
      <w:lvlText w:val="(%2)"/>
      <w:numFmt w:val="lowerRoman"/>
      <w:start w:val="2"/>
    </w:lvl>
  </w:abstractNum>
  <w:abstractNum w:abstractNumId="175">
    <w:nsid w:val="71482545"/>
    <w:multiLevelType w:val="hybridMultilevel"/>
    <w:lvl w:ilvl="0">
      <w:lvlJc w:val="left"/>
      <w:lvlText w:val="(%1)"/>
      <w:numFmt w:val="lowerLetter"/>
      <w:start w:val="2"/>
    </w:lvl>
    <w:lvl w:ilvl="1">
      <w:lvlJc w:val="left"/>
      <w:lvlText w:val="%2"/>
      <w:numFmt w:val="lowerRoman"/>
      <w:start w:val="1"/>
    </w:lvl>
  </w:abstractNum>
  <w:abstractNum w:abstractNumId="176">
    <w:nsid w:val="17D78639"/>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77">
    <w:nsid w:val="141D2302"/>
    <w:multiLevelType w:val="hybridMultilevel"/>
    <w:lvl w:ilvl="0">
      <w:lvlJc w:val="left"/>
      <w:lvlText w:val="(%1)"/>
      <w:numFmt w:val="lowerLetter"/>
      <w:start w:val="35"/>
    </w:lvl>
    <w:lvl w:ilvl="1">
      <w:lvlJc w:val="left"/>
      <w:lvlText w:val="%2."/>
      <w:numFmt w:val="decimal"/>
      <w:start w:val="14"/>
    </w:lvl>
    <w:lvl w:ilvl="2">
      <w:lvlJc w:val="left"/>
      <w:lvlText w:val="(%3)"/>
      <w:numFmt w:val="lowerLetter"/>
      <w:start w:val="1"/>
    </w:lvl>
  </w:abstractNum>
  <w:abstractNum w:abstractNumId="178">
    <w:nsid w:val="407168D8"/>
    <w:multiLevelType w:val="hybridMultilevel"/>
    <w:lvl w:ilvl="0">
      <w:lvlJc w:val="left"/>
      <w:lvlText w:val="%1"/>
      <w:numFmt w:val="decimal"/>
      <w:start w:val="1"/>
    </w:lvl>
    <w:lvl w:ilvl="1">
      <w:lvlJc w:val="left"/>
      <w:lvlText w:val="(%2)"/>
      <w:numFmt w:val="lowerLetter"/>
      <w:start w:val="3"/>
    </w:lvl>
  </w:abstractNum>
  <w:abstractNum w:abstractNumId="179">
    <w:nsid w:val="6A1B45E5"/>
    <w:multiLevelType w:val="hybridMultilevel"/>
    <w:lvl w:ilvl="0">
      <w:lvlJc w:val="left"/>
      <w:lvlText w:val="%1."/>
      <w:numFmt w:val="decimal"/>
      <w:start w:val="15"/>
    </w:lvl>
    <w:lvl w:ilvl="1">
      <w:lvlJc w:val="left"/>
      <w:lvlText w:val="(%2)"/>
      <w:numFmt w:val="lowerLetter"/>
      <w:start w:val="1"/>
    </w:lvl>
  </w:abstractNum>
  <w:abstractNum w:abstractNumId="180">
    <w:nsid w:val="567BD50A"/>
    <w:multiLevelType w:val="hybridMultilevel"/>
    <w:lvl w:ilvl="0">
      <w:lvlJc w:val="left"/>
      <w:lvlText w:val="%1."/>
      <w:numFmt w:val="decimal"/>
      <w:start w:val="18"/>
    </w:lvl>
  </w:abstractNum>
  <w:abstractNum w:abstractNumId="181">
    <w:nsid w:val="73BBD7F8"/>
    <w:multiLevelType w:val="hybridMultilevel"/>
    <w:lvl w:ilvl="0">
      <w:lvlJc w:val="left"/>
      <w:lvlText w:val="%1."/>
      <w:numFmt w:val="decimal"/>
      <w:start w:val="1"/>
    </w:lvl>
    <w:lvl w:ilvl="1">
      <w:lvlJc w:val="left"/>
      <w:lvlText w:val="(%2)"/>
      <w:numFmt w:val="lowerLetter"/>
      <w:start w:val="1"/>
    </w:lvl>
  </w:abstractNum>
  <w:abstractNum w:abstractNumId="182">
    <w:nsid w:val="1876589D"/>
    <w:multiLevelType w:val="hybridMultilevel"/>
    <w:lvl w:ilvl="0">
      <w:lvlJc w:val="left"/>
      <w:lvlText w:val="%1."/>
      <w:numFmt w:val="decimal"/>
      <w:start w:val="2"/>
    </w:lvl>
    <w:lvl w:ilvl="1">
      <w:lvlJc w:val="left"/>
      <w:lvlText w:val="(%2)"/>
      <w:numFmt w:val="lowerLetter"/>
      <w:start w:val="1"/>
    </w:lvl>
  </w:abstractNum>
  <w:abstractNum w:abstractNumId="183">
    <w:nsid w:val="327FAC7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84">
    <w:nsid w:val="5A60650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185">
    <w:nsid w:val="6F38E6D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86">
    <w:nsid w:val="46111BA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87">
    <w:nsid w:val="5E963896"/>
    <w:multiLevelType w:val="hybridMultilevel"/>
    <w:lvl w:ilvl="0">
      <w:lvlJc w:val="left"/>
      <w:lvlText w:val="(%1)"/>
      <w:numFmt w:val="lowerRoman"/>
      <w:start w:val="3"/>
    </w:lvl>
  </w:abstractNum>
  <w:abstractNum w:abstractNumId="188">
    <w:nsid w:val="775BA7C1"/>
    <w:multiLevelType w:val="hybridMultilevel"/>
    <w:lvl w:ilvl="0">
      <w:lvlJc w:val="left"/>
      <w:lvlText w:val="(%1)"/>
      <w:numFmt w:val="decimal"/>
      <w:start w:val="2"/>
    </w:lvl>
    <w:lvl w:ilvl="1">
      <w:lvlJc w:val="left"/>
      <w:lvlText w:val="(%2)"/>
      <w:numFmt w:val="lowerLetter"/>
      <w:start w:val="4"/>
    </w:lvl>
    <w:lvl w:ilvl="2">
      <w:lvlJc w:val="left"/>
      <w:lvlText w:val="(%3)"/>
      <w:numFmt w:val="lowerRoman"/>
      <w:start w:val="1"/>
    </w:lvl>
  </w:abstractNum>
  <w:abstractNum w:abstractNumId="189">
    <w:nsid w:val="1DD6D6F4"/>
    <w:multiLevelType w:val="hybridMultilevel"/>
    <w:lvl w:ilvl="0">
      <w:lvlJc w:val="left"/>
      <w:lvlText w:val="%1"/>
      <w:numFmt w:val="decimal"/>
      <w:start w:val="1"/>
    </w:lvl>
    <w:lvl w:ilvl="1">
      <w:lvlJc w:val="left"/>
      <w:lvlText w:val="(%2)"/>
      <w:numFmt w:val="lowerLetter"/>
      <w:start w:val="6"/>
    </w:lvl>
  </w:abstractNum>
  <w:abstractNum w:abstractNumId="190">
    <w:nsid w:val="769A091F"/>
    <w:multiLevelType w:val="hybridMultilevel"/>
    <w:lvl w:ilvl="0">
      <w:lvlJc w:val="left"/>
      <w:lvlText w:val="%1."/>
      <w:numFmt w:val="decimal"/>
      <w:start w:val="7"/>
    </w:lvl>
    <w:lvl w:ilvl="1">
      <w:lvlJc w:val="left"/>
      <w:lvlText w:val="(%2)"/>
      <w:numFmt w:val="lowerLetter"/>
      <w:start w:val="1"/>
    </w:lvl>
  </w:abstractNum>
  <w:abstractNum w:abstractNumId="191">
    <w:nsid w:val="4695AE95"/>
    <w:multiLevelType w:val="hybridMultilevel"/>
    <w:lvl w:ilvl="0">
      <w:lvlJc w:val="left"/>
      <w:lvlText w:val="(%1)"/>
      <w:numFmt w:val="upperLetter"/>
      <w:start w:val="2"/>
    </w:lvl>
    <w:lvl w:ilvl="1">
      <w:lvlJc w:val="left"/>
      <w:lvlText w:val="(%2)"/>
      <w:numFmt w:val="lowerLetter"/>
      <w:start w:val="2"/>
    </w:lvl>
  </w:abstractNum>
  <w:abstractNum w:abstractNumId="192">
    <w:nsid w:val="777A4EAA"/>
    <w:multiLevelType w:val="hybridMultilevel"/>
    <w:lvl w:ilvl="0">
      <w:lvlJc w:val="left"/>
      <w:lvlText w:val="%1."/>
      <w:numFmt w:val="decimal"/>
      <w:start w:val="10"/>
    </w:lvl>
    <w:lvl w:ilvl="1">
      <w:lvlJc w:val="left"/>
      <w:lvlText w:val="(%2)"/>
      <w:numFmt w:val="lowerLetter"/>
      <w:start w:val="1"/>
    </w:lvl>
  </w:abstractNum>
  <w:abstractNum w:abstractNumId="193">
    <w:nsid w:val="3F48B982"/>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94">
    <w:nsid w:val="46BA8FCA"/>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2"/>
    </w:lvl>
  </w:abstractNum>
  <w:abstractNum w:abstractNumId="195">
    <w:nsid w:val="7835626C"/>
    <w:multiLevelType w:val="hybridMultilevel"/>
    <w:lvl w:ilvl="0">
      <w:lvlJc w:val="left"/>
      <w:lvlText w:val="(%1)"/>
      <w:numFmt w:val="lowerLetter"/>
      <w:start w:val="6"/>
    </w:lvl>
  </w:abstractNum>
  <w:abstractNum w:abstractNumId="196">
    <w:nsid w:val="665ACA49"/>
    <w:multiLevelType w:val="hybridMultilevel"/>
    <w:lvl w:ilvl="0">
      <w:lvlJc w:val="left"/>
      <w:lvlText w:val="(%1)"/>
      <w:numFmt w:val="lowerLetter"/>
      <w:start w:val="11"/>
    </w:lvl>
  </w:abstractNum>
  <w:abstractNum w:abstractNumId="197">
    <w:nsid w:val="6835B2AE"/>
    <w:multiLevelType w:val="hybridMultilevel"/>
    <w:lvl w:ilvl="0">
      <w:lvlJc w:val="left"/>
      <w:lvlText w:val="(%1)"/>
      <w:numFmt w:val="lowerRoman"/>
      <w:start w:val="1"/>
    </w:lvl>
  </w:abstractNum>
  <w:abstractNum w:abstractNumId="198">
    <w:nsid w:val="4C187C90"/>
    <w:multiLevelType w:val="hybridMultilevel"/>
    <w:lvl w:ilvl="0">
      <w:lvlJc w:val="left"/>
      <w:lvlText w:val="(%1)"/>
      <w:numFmt w:val="lowerRoman"/>
      <w:start w:val="1"/>
    </w:lvl>
  </w:abstractNum>
  <w:abstractNum w:abstractNumId="199">
    <w:nsid w:val="541F28CD"/>
    <w:multiLevelType w:val="hybridMultilevel"/>
    <w:lvl w:ilvl="0">
      <w:lvlJc w:val="left"/>
      <w:lvlText w:val="(%1)"/>
      <w:numFmt w:val="lowerRoman"/>
      <w:start w:val="2"/>
    </w:lvl>
  </w:abstractNum>
  <w:abstractNum w:abstractNumId="200">
    <w:nsid w:val="7F65FD16"/>
    <w:multiLevelType w:val="hybridMultilevel"/>
    <w:lvl w:ilvl="0">
      <w:lvlJc w:val="left"/>
      <w:lvlText w:val="%1."/>
      <w:numFmt w:val="decimal"/>
      <w:start w:val="1"/>
    </w:lvl>
    <w:lvl w:ilvl="1">
      <w:lvlJc w:val="left"/>
      <w:lvlText w:val="(%2)"/>
      <w:numFmt w:val="lowerLetter"/>
      <w:start w:val="1"/>
    </w:lvl>
  </w:abstractNum>
  <w:abstractNum w:abstractNumId="201">
    <w:nsid w:val="77C9FD68"/>
    <w:multiLevelType w:val="hybridMultilevel"/>
    <w:lvl w:ilvl="0">
      <w:lvlJc w:val="left"/>
      <w:lvlText w:val="%1."/>
      <w:numFmt w:val="decimal"/>
      <w:start w:val="2"/>
    </w:lvl>
    <w:lvl w:ilvl="1">
      <w:lvlJc w:val="left"/>
      <w:lvlText w:val="(%2)"/>
      <w:numFmt w:val="lowerLetter"/>
      <w:start w:val="1"/>
    </w:lvl>
  </w:abstractNum>
  <w:abstractNum w:abstractNumId="202">
    <w:nsid w:val="298A92B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03">
    <w:nsid w:val="6FE95EA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04">
    <w:nsid w:val="4B697C7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05">
    <w:nsid w:val="51A27AA6"/>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06">
    <w:nsid w:val="613183F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07">
    <w:nsid w:val="634102B4"/>
    <w:multiLevelType w:val="hybridMultilevel"/>
    <w:lvl w:ilvl="0">
      <w:lvlJc w:val="left"/>
      <w:lvlText w:val="%1"/>
      <w:numFmt w:val="lowerLetter"/>
      <w:start w:val="1"/>
    </w:lvl>
    <w:lvl w:ilvl="1">
      <w:lvlJc w:val="left"/>
      <w:lvlText w:val="(%2)"/>
      <w:numFmt w:val="lowerRoman"/>
      <w:start w:val="4"/>
    </w:lvl>
  </w:abstractNum>
  <w:abstractNum w:abstractNumId="208">
    <w:nsid w:val="65BF9DA8"/>
    <w:multiLevelType w:val="hybridMultilevel"/>
    <w:lvl w:ilvl="0">
      <w:lvlJc w:val="left"/>
      <w:lvlText w:val="(%1)"/>
      <w:numFmt w:val="lowerLetter"/>
      <w:start w:val="4"/>
    </w:lvl>
    <w:lvl w:ilvl="1">
      <w:lvlJc w:val="left"/>
      <w:lvlText w:val="(%2)"/>
      <w:numFmt w:val="lowerRoman"/>
      <w:start w:val="1"/>
    </w:lvl>
  </w:abstractNum>
  <w:abstractNum w:abstractNumId="209">
    <w:nsid w:val="21A2ECCA"/>
    <w:multiLevelType w:val="hybridMultilevel"/>
    <w:lvl w:ilvl="0">
      <w:lvlJc w:val="left"/>
      <w:lvlText w:val="%1"/>
      <w:numFmt w:val="decimal"/>
      <w:start w:val="1"/>
    </w:lvl>
    <w:lvl w:ilvl="1">
      <w:lvlJc w:val="left"/>
      <w:lvlText w:val="(%2)"/>
      <w:numFmt w:val="lowerLetter"/>
      <w:start w:val="5"/>
    </w:lvl>
  </w:abstractNum>
  <w:abstractNum w:abstractNumId="210">
    <w:nsid w:val="4D5C4899"/>
    <w:multiLevelType w:val="hybridMultilevel"/>
    <w:lvl w:ilvl="0">
      <w:lvlJc w:val="left"/>
      <w:lvlText w:val="%1."/>
      <w:numFmt w:val="decimal"/>
      <w:start w:val="7"/>
    </w:lvl>
    <w:lvl w:ilvl="1">
      <w:lvlJc w:val="left"/>
      <w:lvlText w:val="%2"/>
      <w:numFmt w:val="lowerLetter"/>
      <w:start w:val="1"/>
    </w:lvl>
  </w:abstractNum>
  <w:abstractNum w:abstractNumId="211">
    <w:nsid w:val="3C3B72B2"/>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12">
    <w:nsid w:val="155EC4C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13">
    <w:nsid w:val="65D2A137"/>
    <w:multiLevelType w:val="hybridMultilevel"/>
    <w:lvl w:ilvl="0">
      <w:lvlJc w:val="left"/>
      <w:lvlText w:val="%1."/>
      <w:numFmt w:val="decimal"/>
      <w:start w:val="10"/>
    </w:lvl>
    <w:lvl w:ilvl="1">
      <w:lvlJc w:val="left"/>
      <w:lvlText w:val="(%2)"/>
      <w:numFmt w:val="lowerLetter"/>
      <w:start w:val="1"/>
    </w:lvl>
  </w:abstractNum>
  <w:abstractNum w:abstractNumId="214">
    <w:nsid w:val="6EBB1F2A"/>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15">
    <w:nsid w:val="6FBF29C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2"/>
    </w:lvl>
  </w:abstractNum>
  <w:abstractNum w:abstractNumId="216">
    <w:nsid w:val="550B8808"/>
    <w:multiLevelType w:val="hybridMultilevel"/>
    <w:lvl w:ilvl="0">
      <w:lvlJc w:val="left"/>
      <w:lvlText w:val="(%1)"/>
      <w:numFmt w:val="lowerLetter"/>
      <w:start w:val="6"/>
    </w:lvl>
  </w:abstractNum>
  <w:abstractNum w:abstractNumId="217">
    <w:nsid w:val="34CC3ACF"/>
    <w:multiLevelType w:val="hybridMultilevel"/>
    <w:lvl w:ilvl="0">
      <w:lvlJc w:val="left"/>
      <w:lvlText w:val="(%1)"/>
      <w:numFmt w:val="lowerLetter"/>
      <w:start w:val="10"/>
    </w:lvl>
  </w:abstractNum>
  <w:abstractNum w:abstractNumId="218">
    <w:nsid w:val="4E556261"/>
    <w:multiLevelType w:val="hybridMultilevel"/>
    <w:lvl w:ilvl="0">
      <w:lvlJc w:val="left"/>
      <w:lvlText w:val="(%1)"/>
      <w:numFmt w:val="lowerRoman"/>
      <w:start w:val="1"/>
    </w:lvl>
  </w:abstractNum>
  <w:abstractNum w:abstractNumId="219">
    <w:nsid w:val="4C672FC9"/>
    <w:multiLevelType w:val="hybridMultilevel"/>
    <w:lvl w:ilvl="0">
      <w:lvlJc w:val="left"/>
      <w:lvlText w:val="(%1)"/>
      <w:numFmt w:val="lowerRoman"/>
      <w:start w:val="1"/>
    </w:lvl>
  </w:abstractNum>
  <w:abstractNum w:abstractNumId="220">
    <w:nsid w:val="52A311C3"/>
    <w:multiLevelType w:val="hybridMultilevel"/>
    <w:lvl w:ilvl="0">
      <w:lvlJc w:val="left"/>
      <w:lvlText w:val="(%1)"/>
      <w:numFmt w:val="lowerRoman"/>
      <w:start w:val="2"/>
    </w:lvl>
  </w:abstractNum>
  <w:abstractNum w:abstractNumId="221">
    <w:nsid w:val="44EF6B80"/>
    <w:multiLevelType w:val="hybridMultilevel"/>
    <w:lvl w:ilvl="0">
      <w:lvlJc w:val="left"/>
      <w:lvlText w:val="%1."/>
      <w:numFmt w:val="decimal"/>
      <w:start w:val="1"/>
    </w:lvl>
    <w:lvl w:ilvl="1">
      <w:lvlJc w:val="left"/>
      <w:lvlText w:val="(%2)"/>
      <w:numFmt w:val="lowerLetter"/>
      <w:start w:val="1"/>
    </w:lvl>
  </w:abstractNum>
  <w:abstractNum w:abstractNumId="222">
    <w:nsid w:val="12FCDE5E"/>
    <w:multiLevelType w:val="hybridMultilevel"/>
    <w:lvl w:ilvl="0">
      <w:lvlJc w:val="left"/>
      <w:lvlText w:val="%1."/>
      <w:numFmt w:val="decimal"/>
      <w:start w:val="2"/>
    </w:lvl>
    <w:lvl w:ilvl="1">
      <w:lvlJc w:val="left"/>
      <w:lvlText w:val="(%2)"/>
      <w:numFmt w:val="lowerLetter"/>
      <w:start w:val="1"/>
    </w:lvl>
  </w:abstractNum>
  <w:abstractNum w:abstractNumId="223">
    <w:nsid w:val="4A1D606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24">
    <w:nsid w:val="438250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25">
    <w:nsid w:val="59B76E2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26">
    <w:nsid w:val="4252C2D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27">
    <w:nsid w:val="6A92EF4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28">
    <w:nsid w:val="41ED20D7"/>
    <w:multiLevelType w:val="hybridMultilevel"/>
    <w:lvl w:ilvl="0">
      <w:lvlJc w:val="left"/>
      <w:lvlText w:val="%1"/>
      <w:numFmt w:val="lowerLetter"/>
      <w:start w:val="1"/>
    </w:lvl>
    <w:lvl w:ilvl="1">
      <w:lvlJc w:val="left"/>
      <w:lvlText w:val="(%2)"/>
      <w:numFmt w:val="lowerRoman"/>
      <w:start w:val="4"/>
    </w:lvl>
  </w:abstractNum>
  <w:abstractNum w:abstractNumId="229">
    <w:nsid w:val="E6B3F6A"/>
    <w:multiLevelType w:val="hybridMultilevel"/>
    <w:lvl w:ilvl="0">
      <w:lvlJc w:val="left"/>
      <w:lvlText w:val="(%1)"/>
      <w:numFmt w:val="lowerLetter"/>
      <w:start w:val="4"/>
    </w:lvl>
    <w:lvl w:ilvl="1">
      <w:lvlJc w:val="left"/>
      <w:lvlText w:val="(%2)"/>
      <w:numFmt w:val="lowerRoman"/>
      <w:start w:val="1"/>
    </w:lvl>
  </w:abstractNum>
  <w:abstractNum w:abstractNumId="230">
    <w:nsid w:val="3EB21819"/>
    <w:multiLevelType w:val="hybridMultilevel"/>
    <w:lvl w:ilvl="0">
      <w:lvlJc w:val="left"/>
      <w:lvlText w:val="%1"/>
      <w:numFmt w:val="decimal"/>
      <w:start w:val="1"/>
    </w:lvl>
    <w:lvl w:ilvl="1">
      <w:lvlJc w:val="left"/>
      <w:lvlText w:val="(%2)"/>
      <w:numFmt w:val="lowerLetter"/>
      <w:start w:val="5"/>
    </w:lvl>
  </w:abstractNum>
  <w:abstractNum w:abstractNumId="231">
    <w:nsid w:val="41531DED"/>
    <w:multiLevelType w:val="hybridMultilevel"/>
    <w:lvl w:ilvl="0">
      <w:lvlJc w:val="left"/>
      <w:lvlText w:val="%1."/>
      <w:numFmt w:val="decimal"/>
      <w:start w:val="7"/>
    </w:lvl>
    <w:lvl w:ilvl="1">
      <w:lvlJc w:val="left"/>
      <w:lvlText w:val="%2"/>
      <w:numFmt w:val="lowerLetter"/>
      <w:start w:val="1"/>
    </w:lvl>
  </w:abstractNum>
  <w:abstractNum w:abstractNumId="232">
    <w:nsid w:val="6353CD2"/>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33">
    <w:nsid w:val="683CAA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34">
    <w:nsid w:val="313C7C99"/>
    <w:multiLevelType w:val="hybridMultilevel"/>
    <w:lvl w:ilvl="0">
      <w:lvlJc w:val="left"/>
      <w:lvlText w:val="%1."/>
      <w:numFmt w:val="decimal"/>
      <w:start w:val="10"/>
    </w:lvl>
    <w:lvl w:ilvl="1">
      <w:lvlJc w:val="left"/>
      <w:lvlText w:val="(%2)"/>
      <w:numFmt w:val="lowerLetter"/>
      <w:start w:val="1"/>
    </w:lvl>
  </w:abstractNum>
  <w:abstractNum w:abstractNumId="235">
    <w:nsid w:val="519EB94C"/>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36">
    <w:nsid w:val="39DF2579"/>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2"/>
    </w:lvl>
  </w:abstractNum>
  <w:abstractNum w:abstractNumId="237">
    <w:nsid w:val="126E008B"/>
    <w:multiLevelType w:val="hybridMultilevel"/>
    <w:lvl w:ilvl="0">
      <w:lvlJc w:val="left"/>
      <w:lvlText w:val="(%1)"/>
      <w:numFmt w:val="lowerLetter"/>
      <w:start w:val="5"/>
    </w:lvl>
  </w:abstractNum>
  <w:abstractNum w:abstractNumId="238">
    <w:nsid w:val="34DFBC00"/>
    <w:multiLevelType w:val="hybridMultilevel"/>
    <w:lvl w:ilvl="0">
      <w:lvlJc w:val="left"/>
      <w:lvlText w:val="(%1)"/>
      <w:numFmt w:val="lowerLetter"/>
      <w:start w:val="9"/>
    </w:lvl>
  </w:abstractNum>
  <w:abstractNum w:abstractNumId="239">
    <w:nsid w:val="1F9EC322"/>
    <w:multiLevelType w:val="hybridMultilevel"/>
    <w:lvl w:ilvl="0">
      <w:lvlJc w:val="left"/>
      <w:lvlText w:val="(%1)"/>
      <w:numFmt w:val="lowerRoman"/>
      <w:start w:val="1"/>
    </w:lvl>
  </w:abstractNum>
  <w:abstractNum w:abstractNumId="240">
    <w:nsid w:val="3410ED56"/>
    <w:multiLevelType w:val="hybridMultilevel"/>
    <w:lvl w:ilvl="0">
      <w:lvlJc w:val="left"/>
      <w:lvlText w:val="(%1)"/>
      <w:numFmt w:val="lowerRoman"/>
      <w:start w:val="1"/>
    </w:lvl>
  </w:abstractNum>
  <w:abstractNum w:abstractNumId="241">
    <w:nsid w:val="23C049A"/>
    <w:multiLevelType w:val="hybridMultilevel"/>
    <w:lvl w:ilvl="0">
      <w:lvlJc w:val="left"/>
      <w:lvlText w:val="(%1)"/>
      <w:numFmt w:val="lowerRoman"/>
      <w:start w:val="2"/>
    </w:lvl>
  </w:abstractNum>
  <w:abstractNum w:abstractNumId="242">
    <w:nsid w:val="5BDA35D4"/>
    <w:multiLevelType w:val="hybridMultilevel"/>
    <w:lvl w:ilvl="0">
      <w:lvlJc w:val="left"/>
      <w:lvlText w:val="%1."/>
      <w:numFmt w:val="decimal"/>
      <w:start w:val="1"/>
    </w:lvl>
    <w:lvl w:ilvl="1">
      <w:lvlJc w:val="left"/>
      <w:lvlText w:val="(%2)"/>
      <w:numFmt w:val="lowerLetter"/>
      <w:start w:val="1"/>
    </w:lvl>
  </w:abstractNum>
  <w:abstractNum w:abstractNumId="243">
    <w:nsid w:val="496FB218"/>
    <w:multiLevelType w:val="hybridMultilevel"/>
    <w:lvl w:ilvl="0">
      <w:lvlJc w:val="left"/>
      <w:lvlText w:val="%1."/>
      <w:numFmt w:val="decimal"/>
      <w:start w:val="2"/>
    </w:lvl>
    <w:lvl w:ilvl="1">
      <w:lvlJc w:val="left"/>
      <w:lvlText w:val="(%2)"/>
      <w:numFmt w:val="lowerLetter"/>
      <w:start w:val="1"/>
    </w:lvl>
  </w:abstractNum>
  <w:abstractNum w:abstractNumId="244">
    <w:nsid w:val="680EA5D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45">
    <w:nsid w:val="4A9554F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246">
    <w:nsid w:val="392EDBE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47">
    <w:nsid w:val="3D1A2DD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48">
    <w:nsid w:val="7F618FCD"/>
    <w:multiLevelType w:val="hybridMultilevel"/>
    <w:lvl w:ilvl="0">
      <w:lvlJc w:val="left"/>
      <w:lvlText w:val="(%1)"/>
      <w:numFmt w:val="lowerLetter"/>
      <w:start w:val="4"/>
    </w:lvl>
    <w:lvl w:ilvl="1">
      <w:lvlJc w:val="left"/>
      <w:lvlText w:val="(%2)"/>
      <w:numFmt w:val="lowerRoman"/>
      <w:start w:val="1"/>
    </w:lvl>
  </w:abstractNum>
  <w:abstractNum w:abstractNumId="249">
    <w:nsid w:val="7843E45"/>
    <w:multiLevelType w:val="hybridMultilevel"/>
    <w:lvl w:ilvl="0">
      <w:lvlJc w:val="left"/>
      <w:lvlText w:val="%1"/>
      <w:numFmt w:val="decimal"/>
      <w:start w:val="1"/>
    </w:lvl>
    <w:lvl w:ilvl="1">
      <w:lvlJc w:val="left"/>
      <w:lvlText w:val="(%2)"/>
      <w:numFmt w:val="lowerLetter"/>
      <w:start w:val="6"/>
    </w:lvl>
  </w:abstractNum>
  <w:abstractNum w:abstractNumId="250">
    <w:nsid w:val="9815DA3"/>
    <w:multiLevelType w:val="hybridMultilevel"/>
    <w:lvl w:ilvl="0">
      <w:lvlJc w:val="left"/>
      <w:lvlText w:val="%1."/>
      <w:numFmt w:val="decimal"/>
      <w:start w:val="7"/>
    </w:lvl>
    <w:lvl w:ilvl="1">
      <w:lvlJc w:val="left"/>
      <w:lvlText w:val="%2"/>
      <w:numFmt w:val="lowerLetter"/>
      <w:start w:val="1"/>
    </w:lvl>
  </w:abstractNum>
  <w:abstractNum w:abstractNumId="251">
    <w:nsid w:val="5204A191"/>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52">
    <w:nsid w:val="4C73A9C6"/>
    <w:multiLevelType w:val="hybridMultilevel"/>
    <w:lvl w:ilvl="0">
      <w:lvlJc w:val="left"/>
      <w:lvlText w:val="(%1)"/>
      <w:numFmt w:val="decimal"/>
      <w:start w:val="1"/>
    </w:lvl>
    <w:lvl w:ilvl="1">
      <w:lvlJc w:val="left"/>
      <w:lvlText w:val="%2."/>
      <w:numFmt w:val="decimal"/>
      <w:start w:val="9"/>
    </w:lvl>
    <w:lvl w:ilvl="2">
      <w:lvlJc w:val="left"/>
      <w:lvlText w:val="(%3)"/>
      <w:numFmt w:val="lowerLetter"/>
      <w:start w:val="2"/>
    </w:lvl>
  </w:abstractNum>
  <w:abstractNum w:abstractNumId="253">
    <w:nsid w:val="1C7E3C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4">
    <w:nsid w:val="1C2201FF"/>
    <w:multiLevelType w:val="hybridMultilevel"/>
    <w:lvl w:ilvl="0">
      <w:lvlJc w:val="left"/>
      <w:lvlText w:val="%1"/>
      <w:numFmt w:val="decimal"/>
      <w:start w:val="1"/>
    </w:lvl>
    <w:lvl w:ilvl="1">
      <w:lvlJc w:val="left"/>
      <w:lvlText w:val="(%2)"/>
      <w:numFmt w:val="lowerLetter"/>
      <w:start w:val="2"/>
    </w:lvl>
  </w:abstractNum>
  <w:abstractNum w:abstractNumId="255">
    <w:nsid w:val="50ABCEC9"/>
    <w:multiLevelType w:val="hybridMultilevel"/>
    <w:lvl w:ilvl="0">
      <w:lvlJc w:val="left"/>
      <w:lvlText w:val="%1."/>
      <w:numFmt w:val="decimal"/>
      <w:start w:val="11"/>
    </w:lvl>
    <w:lvl w:ilvl="1">
      <w:lvlJc w:val="left"/>
      <w:lvlText w:val="%2"/>
      <w:numFmt w:val="lowerLetter"/>
      <w:start w:val="1"/>
    </w:lvl>
  </w:abstractNum>
  <w:abstractNum w:abstractNumId="256">
    <w:nsid w:val="7635AA2A"/>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57">
    <w:nsid w:val="5E74C4D9"/>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2"/>
    </w:lvl>
  </w:abstractNum>
  <w:abstractNum w:abstractNumId="258">
    <w:nsid w:val="3B3EBE15"/>
    <w:multiLevelType w:val="hybridMultilevel"/>
    <w:lvl w:ilvl="0">
      <w:lvlJc w:val="left"/>
      <w:lvlText w:val="(%1)"/>
      <w:numFmt w:val="lowerLetter"/>
      <w:start w:val="7"/>
    </w:lvl>
  </w:abstractNum>
  <w:abstractNum w:abstractNumId="259">
    <w:nsid w:val="3822CB01"/>
    <w:multiLevelType w:val="hybridMultilevel"/>
    <w:lvl w:ilvl="0">
      <w:lvlJc w:val="left"/>
      <w:lvlText w:val="(%1)"/>
      <w:numFmt w:val="lowerRoman"/>
      <w:start w:val="1"/>
    </w:lvl>
  </w:abstractNum>
  <w:abstractNum w:abstractNumId="260">
    <w:nsid w:val="6CE00443"/>
    <w:multiLevelType w:val="hybridMultilevel"/>
    <w:lvl w:ilvl="0">
      <w:lvlJc w:val="left"/>
      <w:lvlText w:val="(%1)"/>
      <w:numFmt w:val="lowerRoman"/>
      <w:start w:val="1"/>
    </w:lvl>
  </w:abstractNum>
  <w:abstractNum w:abstractNumId="261">
    <w:nsid w:val="79F0D62F"/>
    <w:multiLevelType w:val="hybridMultilevel"/>
    <w:lvl w:ilvl="0">
      <w:lvlJc w:val="left"/>
      <w:lvlText w:val="(%1)"/>
      <w:numFmt w:val="lowerRoman"/>
      <w:start w:val="2"/>
    </w:lvl>
  </w:abstractNum>
  <w:abstractNum w:abstractNumId="262">
    <w:nsid w:val="7975E8EE"/>
    <w:multiLevelType w:val="hybridMultilevel"/>
    <w:lvl w:ilvl="0">
      <w:lvlJc w:val="left"/>
      <w:lvlText w:val="%1."/>
      <w:numFmt w:val="decimal"/>
      <w:start w:val="1"/>
    </w:lvl>
    <w:lvl w:ilvl="1">
      <w:lvlJc w:val="left"/>
      <w:lvlText w:val="(%2)"/>
      <w:numFmt w:val="lowerLetter"/>
      <w:start w:val="1"/>
    </w:lvl>
  </w:abstractNum>
  <w:abstractNum w:abstractNumId="263">
    <w:nsid w:val="73154115"/>
    <w:multiLevelType w:val="hybridMultilevel"/>
    <w:lvl w:ilvl="0">
      <w:lvlJc w:val="left"/>
      <w:lvlText w:val="%1."/>
      <w:numFmt w:val="decimal"/>
      <w:start w:val="2"/>
    </w:lvl>
    <w:lvl w:ilvl="1">
      <w:lvlJc w:val="left"/>
      <w:lvlText w:val="(%2)"/>
      <w:numFmt w:val="lowerLetter"/>
      <w:start w:val="1"/>
    </w:lvl>
  </w:abstractNum>
  <w:abstractNum w:abstractNumId="264">
    <w:nsid w:val="622D810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65">
    <w:nsid w:val="2AB2658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66">
    <w:nsid w:val="44B3FA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67">
    <w:nsid w:val="1C0CA67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68">
    <w:nsid w:val="3D20661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69">
    <w:nsid w:val="7993B662"/>
    <w:multiLevelType w:val="hybridMultilevel"/>
    <w:lvl w:ilvl="0">
      <w:lvlJc w:val="left"/>
      <w:lvlText w:val="%1"/>
      <w:numFmt w:val="lowerLetter"/>
      <w:start w:val="1"/>
    </w:lvl>
    <w:lvl w:ilvl="1">
      <w:lvlJc w:val="left"/>
      <w:lvlText w:val="(%2)"/>
      <w:numFmt w:val="lowerRoman"/>
      <w:start w:val="3"/>
    </w:lvl>
  </w:abstractNum>
  <w:abstractNum w:abstractNumId="270">
    <w:nsid w:val="3BAB699E"/>
    <w:multiLevelType w:val="hybridMultilevel"/>
    <w:lvl w:ilvl="0">
      <w:lvlJc w:val="left"/>
      <w:lvlText w:val="(%1)"/>
      <w:numFmt w:val="lowerLetter"/>
      <w:start w:val="4"/>
    </w:lvl>
    <w:lvl w:ilvl="1">
      <w:lvlJc w:val="left"/>
      <w:lvlText w:val="(%2)"/>
      <w:numFmt w:val="lowerRoman"/>
      <w:start w:val="1"/>
    </w:lvl>
  </w:abstractNum>
  <w:abstractNum w:abstractNumId="271">
    <w:nsid w:val="71315369"/>
    <w:multiLevelType w:val="hybridMultilevel"/>
    <w:lvl w:ilvl="0">
      <w:lvlJc w:val="left"/>
      <w:lvlText w:val="%1"/>
      <w:numFmt w:val="decimal"/>
      <w:start w:val="1"/>
    </w:lvl>
    <w:lvl w:ilvl="1">
      <w:lvlJc w:val="left"/>
      <w:lvlText w:val="(%2)"/>
      <w:numFmt w:val="lowerLetter"/>
      <w:start w:val="5"/>
    </w:lvl>
  </w:abstractNum>
  <w:abstractNum w:abstractNumId="272">
    <w:nsid w:val="7BCFBAFC"/>
    <w:multiLevelType w:val="hybridMultilevel"/>
    <w:lvl w:ilvl="0">
      <w:lvlJc w:val="left"/>
      <w:lvlText w:val="%1."/>
      <w:numFmt w:val="decimal"/>
      <w:start w:val="7"/>
    </w:lvl>
    <w:lvl w:ilvl="1">
      <w:lvlJc w:val="left"/>
      <w:lvlText w:val="%2"/>
      <w:numFmt w:val="lowerLetter"/>
      <w:start w:val="1"/>
    </w:lvl>
  </w:abstractNum>
  <w:abstractNum w:abstractNumId="273">
    <w:nsid w:val="17859F72"/>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274">
    <w:nsid w:val="3AA1058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75">
    <w:nsid w:val="63DE60CD"/>
    <w:multiLevelType w:val="hybridMultilevel"/>
    <w:lvl w:ilvl="0">
      <w:lvlJc w:val="left"/>
      <w:lvlText w:val="%1."/>
      <w:numFmt w:val="decimal"/>
      <w:start w:val="10"/>
    </w:lvl>
    <w:lvl w:ilvl="1">
      <w:lvlJc w:val="left"/>
      <w:lvlText w:val="(%2)"/>
      <w:numFmt w:val="lowerLetter"/>
      <w:start w:val="1"/>
    </w:lvl>
  </w:abstractNum>
  <w:abstractNum w:abstractNumId="276">
    <w:nsid w:val="621AF47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77">
    <w:nsid w:val="73CFE165"/>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78">
    <w:nsid w:val="20F88EA6"/>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2"/>
    </w:lvl>
  </w:abstractNum>
  <w:abstractNum w:abstractNumId="279">
    <w:nsid w:val="617C843E"/>
    <w:multiLevelType w:val="hybridMultilevel"/>
    <w:lvl w:ilvl="0">
      <w:lvlJc w:val="left"/>
      <w:lvlText w:val="(%1)"/>
      <w:numFmt w:val="lowerLetter"/>
      <w:start w:val="4"/>
    </w:lvl>
  </w:abstractNum>
  <w:abstractNum w:abstractNumId="280">
    <w:nsid w:val="7B541FAB"/>
    <w:multiLevelType w:val="hybridMultilevel"/>
    <w:lvl w:ilvl="0">
      <w:lvlJc w:val="left"/>
      <w:lvlText w:val="(%1)"/>
      <w:numFmt w:val="lowerLetter"/>
      <w:start w:val="9"/>
    </w:lvl>
  </w:abstractNum>
  <w:abstractNum w:abstractNumId="281">
    <w:nsid w:val="2A79EC49"/>
    <w:multiLevelType w:val="hybridMultilevel"/>
    <w:lvl w:ilvl="0">
      <w:lvlJc w:val="left"/>
      <w:lvlText w:val="(%1)"/>
      <w:numFmt w:val="lowerRoman"/>
      <w:start w:val="1"/>
    </w:lvl>
  </w:abstractNum>
  <w:abstractNum w:abstractNumId="282">
    <w:nsid w:val="338125CF"/>
    <w:multiLevelType w:val="hybridMultilevel"/>
    <w:lvl w:ilvl="0">
      <w:lvlJc w:val="left"/>
      <w:lvlText w:val="(%1)"/>
      <w:numFmt w:val="lowerRoman"/>
      <w:start w:val="1"/>
    </w:lvl>
  </w:abstractNum>
  <w:abstractNum w:abstractNumId="283">
    <w:nsid w:val="47C7C971"/>
    <w:multiLevelType w:val="hybridMultilevel"/>
    <w:lvl w:ilvl="0">
      <w:lvlJc w:val="left"/>
      <w:lvlText w:val="(%1)"/>
      <w:numFmt w:val="lowerRoman"/>
      <w:start w:val="2"/>
    </w:lvl>
  </w:abstractNum>
  <w:abstractNum w:abstractNumId="284">
    <w:nsid w:val="46F8284B"/>
    <w:multiLevelType w:val="hybridMultilevel"/>
    <w:lvl w:ilvl="0">
      <w:lvlJc w:val="left"/>
      <w:lvlText w:val="%1."/>
      <w:numFmt w:val="decimal"/>
      <w:start w:val="1"/>
    </w:lvl>
    <w:lvl w:ilvl="1">
      <w:lvlJc w:val="left"/>
      <w:lvlText w:val="(%2)"/>
      <w:numFmt w:val="lowerLetter"/>
      <w:start w:val="1"/>
    </w:lvl>
  </w:abstractNum>
  <w:abstractNum w:abstractNumId="285">
    <w:nsid w:val="4FA327CE"/>
    <w:multiLevelType w:val="hybridMultilevel"/>
    <w:lvl w:ilvl="0">
      <w:lvlJc w:val="left"/>
      <w:lvlText w:val="%1."/>
      <w:numFmt w:val="decimal"/>
      <w:start w:val="2"/>
    </w:lvl>
    <w:lvl w:ilvl="1">
      <w:lvlJc w:val="left"/>
      <w:lvlText w:val="(%2)"/>
      <w:numFmt w:val="lowerLetter"/>
      <w:start w:val="1"/>
    </w:lvl>
  </w:abstractNum>
  <w:abstractNum w:abstractNumId="286">
    <w:nsid w:val="1873983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87">
    <w:nsid w:val="3D2DD27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288">
    <w:nsid w:val="2E17ECA7"/>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89">
    <w:nsid w:val="53B2564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90">
    <w:nsid w:val="75509D76"/>
    <w:multiLevelType w:val="hybridMultilevel"/>
    <w:lvl w:ilvl="0">
      <w:lvlJc w:val="left"/>
      <w:lvlText w:val="%1"/>
      <w:numFmt w:val="lowerLetter"/>
      <w:start w:val="1"/>
    </w:lvl>
    <w:lvl w:ilvl="1">
      <w:lvlJc w:val="left"/>
      <w:lvlText w:val="(%2)"/>
      <w:numFmt w:val="lowerRoman"/>
      <w:start w:val="4"/>
    </w:lvl>
  </w:abstractNum>
  <w:abstractNum w:abstractNumId="291">
    <w:nsid w:val="1AF7F0EA"/>
    <w:multiLevelType w:val="hybridMultilevel"/>
    <w:lvl w:ilvl="0">
      <w:lvlJc w:val="left"/>
      <w:lvlText w:val="(%1)"/>
      <w:numFmt w:val="lowerLetter"/>
      <w:start w:val="4"/>
    </w:lvl>
    <w:lvl w:ilvl="1">
      <w:lvlJc w:val="left"/>
      <w:lvlText w:val="(%2)"/>
      <w:numFmt w:val="lowerRoman"/>
      <w:start w:val="1"/>
    </w:lvl>
  </w:abstractNum>
  <w:abstractNum w:abstractNumId="292">
    <w:nsid w:val="4DA32C7E"/>
    <w:multiLevelType w:val="hybridMultilevel"/>
    <w:lvl w:ilvl="0">
      <w:lvlJc w:val="left"/>
      <w:lvlText w:val="%1"/>
      <w:numFmt w:val="decimal"/>
      <w:start w:val="1"/>
    </w:lvl>
    <w:lvl w:ilvl="1">
      <w:lvlJc w:val="left"/>
      <w:lvlText w:val="(%2)"/>
      <w:numFmt w:val="lowerLetter"/>
      <w:start w:val="6"/>
    </w:lvl>
  </w:abstractNum>
  <w:abstractNum w:abstractNumId="293">
    <w:nsid w:val="6EC68664"/>
    <w:multiLevelType w:val="hybridMultilevel"/>
    <w:lvl w:ilvl="0">
      <w:lvlJc w:val="left"/>
      <w:lvlText w:val="%1."/>
      <w:numFmt w:val="decimal"/>
      <w:start w:val="7"/>
    </w:lvl>
    <w:lvl w:ilvl="1">
      <w:lvlJc w:val="left"/>
      <w:lvlText w:val="%2"/>
      <w:numFmt w:val="lowerLetter"/>
      <w:start w:val="1"/>
    </w:lvl>
  </w:abstractNum>
  <w:abstractNum w:abstractNumId="294">
    <w:nsid w:val="E0D31FF"/>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95">
    <w:nsid w:val="2FD0AD8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96">
    <w:nsid w:val="1978EBEB"/>
    <w:multiLevelType w:val="hybridMultilevel"/>
    <w:lvl w:ilvl="0">
      <w:lvlJc w:val="left"/>
      <w:lvlText w:val="%1."/>
      <w:numFmt w:val="decimal"/>
      <w:start w:val="10"/>
    </w:lvl>
    <w:lvl w:ilvl="1">
      <w:lvlJc w:val="left"/>
      <w:lvlText w:val="(%2)"/>
      <w:numFmt w:val="lowerLetter"/>
      <w:start w:val="1"/>
    </w:lvl>
  </w:abstractNum>
  <w:abstractNum w:abstractNumId="297">
    <w:nsid w:val="52C12C61"/>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98">
    <w:nsid w:val="4BDD53FD"/>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2"/>
    </w:lvl>
  </w:abstractNum>
  <w:abstractNum w:abstractNumId="299">
    <w:nsid w:val="569951FE"/>
    <w:multiLevelType w:val="hybridMultilevel"/>
    <w:lvl w:ilvl="0">
      <w:lvlJc w:val="left"/>
      <w:lvlText w:val="(%1)"/>
      <w:numFmt w:val="lowerLetter"/>
      <w:start w:val="6"/>
    </w:lvl>
  </w:abstractNum>
  <w:abstractNum w:abstractNumId="300">
    <w:nsid w:val="4C54E2C3"/>
    <w:multiLevelType w:val="hybridMultilevel"/>
    <w:lvl w:ilvl="0">
      <w:lvlJc w:val="left"/>
      <w:lvlText w:val="(%1)"/>
      <w:numFmt w:val="lowerRoman"/>
      <w:start w:val="1"/>
    </w:lvl>
  </w:abstractNum>
  <w:abstractNum w:abstractNumId="301">
    <w:nsid w:val="788BD9B"/>
    <w:multiLevelType w:val="hybridMultilevel"/>
    <w:lvl w:ilvl="0">
      <w:lvlJc w:val="left"/>
      <w:lvlText w:val="(%1)"/>
      <w:numFmt w:val="lowerRoman"/>
      <w:start w:val="1"/>
    </w:lvl>
  </w:abstractNum>
  <w:abstractNum w:abstractNumId="302">
    <w:nsid w:val="47CAA567"/>
    <w:multiLevelType w:val="hybridMultilevel"/>
    <w:lvl w:ilvl="0">
      <w:lvlJc w:val="left"/>
      <w:lvlText w:val="(%1)"/>
      <w:numFmt w:val="lowerRoman"/>
      <w:start w:val="2"/>
    </w:lvl>
  </w:abstractNum>
  <w:abstractNum w:abstractNumId="303">
    <w:nsid w:val="48249DBF"/>
    <w:multiLevelType w:val="hybridMultilevel"/>
    <w:lvl w:ilvl="0">
      <w:lvlJc w:val="left"/>
      <w:lvlText w:val="%1."/>
      <w:numFmt w:val="decimal"/>
      <w:start w:val="1"/>
    </w:lvl>
    <w:lvl w:ilvl="1">
      <w:lvlJc w:val="left"/>
      <w:lvlText w:val="(%2)"/>
      <w:numFmt w:val="lowerLetter"/>
      <w:start w:val="1"/>
    </w:lvl>
  </w:abstractNum>
  <w:abstractNum w:abstractNumId="304">
    <w:nsid w:val="1F0E5D0D"/>
    <w:multiLevelType w:val="hybridMultilevel"/>
    <w:lvl w:ilvl="0">
      <w:lvlJc w:val="left"/>
      <w:lvlText w:val="%1."/>
      <w:numFmt w:val="decimal"/>
      <w:start w:val="2"/>
    </w:lvl>
    <w:lvl w:ilvl="1">
      <w:lvlJc w:val="left"/>
      <w:lvlText w:val="(%2)"/>
      <w:numFmt w:val="lowerLetter"/>
      <w:start w:val="1"/>
    </w:lvl>
  </w:abstractNum>
  <w:abstractNum w:abstractNumId="305">
    <w:nsid w:val="26BAAE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06">
    <w:nsid w:val="2C02FE8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307">
    <w:nsid w:val="129517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08">
    <w:nsid w:val="763B8C4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309">
    <w:nsid w:val="4CFB8D32"/>
    <w:multiLevelType w:val="hybridMultilevel"/>
    <w:lvl w:ilvl="0">
      <w:lvlJc w:val="left"/>
      <w:lvlText w:val="(%1)"/>
      <w:numFmt w:val="lowerLetter"/>
      <w:start w:val="4"/>
    </w:lvl>
    <w:lvl w:ilvl="1">
      <w:lvlJc w:val="left"/>
      <w:lvlText w:val="(%2)"/>
      <w:numFmt w:val="lowerRoman"/>
      <w:start w:val="1"/>
    </w:lvl>
  </w:abstractNum>
  <w:abstractNum w:abstractNumId="310">
    <w:nsid w:val="62A5D5BD"/>
    <w:multiLevelType w:val="hybridMultilevel"/>
    <w:lvl w:ilvl="0">
      <w:lvlJc w:val="left"/>
      <w:lvlText w:val="%1"/>
      <w:numFmt w:val="decimal"/>
      <w:start w:val="1"/>
    </w:lvl>
    <w:lvl w:ilvl="1">
      <w:lvlJc w:val="left"/>
      <w:lvlText w:val="(%2)"/>
      <w:numFmt w:val="lowerLetter"/>
      <w:start w:val="6"/>
    </w:lvl>
  </w:abstractNum>
  <w:abstractNum w:abstractNumId="311">
    <w:nsid w:val="718FABF9"/>
    <w:multiLevelType w:val="hybridMultilevel"/>
    <w:lvl w:ilvl="0">
      <w:lvlJc w:val="left"/>
      <w:lvlText w:val="%1."/>
      <w:numFmt w:val="decimal"/>
      <w:start w:val="7"/>
    </w:lvl>
    <w:lvl w:ilvl="1">
      <w:lvlJc w:val="left"/>
      <w:lvlText w:val="%2"/>
      <w:numFmt w:val="lowerLetter"/>
      <w:start w:val="1"/>
    </w:lvl>
  </w:abstractNum>
  <w:abstractNum w:abstractNumId="312">
    <w:nsid w:val="7775797C"/>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313">
    <w:nsid w:val="1626FB8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14">
    <w:nsid w:val="3957756A"/>
    <w:multiLevelType w:val="hybridMultilevel"/>
    <w:lvl w:ilvl="0">
      <w:lvlJc w:val="left"/>
      <w:lvlText w:val="%1."/>
      <w:numFmt w:val="decimal"/>
      <w:start w:val="10"/>
    </w:lvl>
    <w:lvl w:ilvl="1">
      <w:lvlJc w:val="left"/>
      <w:lvlText w:val="(%2)"/>
      <w:numFmt w:val="lowerLetter"/>
      <w:start w:val="1"/>
    </w:lvl>
  </w:abstractNum>
  <w:abstractNum w:abstractNumId="315">
    <w:nsid w:val="3E6DA1C7"/>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16">
    <w:nsid w:val="65CA235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2"/>
    </w:lvl>
  </w:abstractNum>
  <w:abstractNum w:abstractNumId="317">
    <w:nsid w:val="51CB0DA4"/>
    <w:multiLevelType w:val="hybridMultilevel"/>
    <w:lvl w:ilvl="0">
      <w:lvlJc w:val="left"/>
      <w:lvlText w:val="(%1)"/>
      <w:numFmt w:val="lowerLetter"/>
      <w:start w:val="6"/>
    </w:lvl>
  </w:abstractNum>
  <w:abstractNum w:abstractNumId="318">
    <w:nsid w:val="7B9B743C"/>
    <w:multiLevelType w:val="hybridMultilevel"/>
    <w:lvl w:ilvl="0">
      <w:lvlJc w:val="left"/>
      <w:lvlText w:val="(%1)"/>
      <w:numFmt w:val="lowerRoman"/>
      <w:start w:val="1"/>
    </w:lvl>
  </w:abstractNum>
  <w:abstractNum w:abstractNumId="319">
    <w:nsid w:val="13E21002"/>
    <w:multiLevelType w:val="hybridMultilevel"/>
    <w:lvl w:ilvl="0">
      <w:lvlJc w:val="left"/>
      <w:lvlText w:val="(%1)"/>
      <w:numFmt w:val="lowerRoman"/>
      <w:start w:val="1"/>
    </w:lvl>
  </w:abstractNum>
  <w:abstractNum w:abstractNumId="320">
    <w:nsid w:val="257D63F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2021-08-20T23:07:25Z</dcterms:created>
  <dcterms:modified xsi:type="dcterms:W3CDTF">2021-08-20T23:07:25Z</dcterms:modified>
</cp:coreProperties>
</file>