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tyra-20260630.htm"/>
      <w:bookmarkStart w:id="1" w:name="kstyra202606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001-40800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TYRA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83-1476348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2656 State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Carlsbad,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(619) 728-4760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3526"/>
        <w:gridCol w:w="146"/>
        <w:gridCol w:w="826"/>
        <w:gridCol w:w="146"/>
        <w:gridCol w:w="3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31, 2026, the registrant had 59,676,939</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color w:val="0000FF"/>
                  <w:sz w:val="20"/>
                  <w:u w:val="single"/>
                </w:rPr>
                <w:t>Condensed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
              <w:r>
                <w:rPr>
                  <w:rStyle w:val="InternetLink"/>
                  <w:rFonts w:ascii="Times New Roman" w:hAnsi="Times New Roman"/>
                  <w:color w:val="000080"/>
                  <w:sz w:val="20"/>
                  <w:u w:val="single"/>
                </w:rPr>
                <w:t>Condensed Statements of Stockholders</w:t>
              </w:r>
            </w:hyperlink>
            <w:r>
              <w:rPr>
                <w:rFonts w:ascii="Times New Roman" w:hAnsi="Times New Roman"/>
                <w:color w:val="0000FF"/>
                <w:sz w:val="20"/>
                <w:u w:val="single"/>
              </w:rPr>
              <w:t>’</w:t>
            </w:r>
            <w:hyperlink w:anchor="statement_equity">
              <w:r>
                <w:rPr>
                  <w:rStyle w:val="InternetLink"/>
                  <w:rFonts w:ascii="Times New Roman" w:hAnsi="Times New Roman"/>
                  <w:color w:val="000080"/>
                  <w:sz w:val="20"/>
                  <w:u w:val="single"/>
                </w:rPr>
                <w:t xml:space="preserve">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cash_flows">
              <w:r>
                <w:rPr>
                  <w:rStyle w:val="InternetLink"/>
                  <w:rFonts w:ascii="Times New Roman" w:hAnsi="Times New Roman"/>
                  <w:color w:val="0000FF"/>
                  <w:sz w:val="20"/>
                  <w:u w:val="single"/>
                </w:rPr>
                <w:t>Condensed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the 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2" w:name="i_item1"/>
      <w:bookmarkEnd w:id="2"/>
      <w:r>
        <w:rPr>
          <w:rFonts w:ascii="Times New Roman" w:hAnsi="Times New Roman"/>
          <w:b/>
          <w:color w:val="000000"/>
          <w:sz w:val="20"/>
        </w:rPr>
        <w:t>Item 1. Condensed Financial Statements</w:t>
      </w:r>
    </w:p>
    <w:p>
      <w:pPr>
        <w:pStyle w:val="TextBody"/>
        <w:bidi w:val="0"/>
        <w:spacing w:before="24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Tyra Biosciences, Inc.</w:t>
        <w:br/>
        <w:t>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(in thousands, except share and per share data)</w:t>
      </w:r>
    </w:p>
    <w:tbl>
      <w:tblPr>
        <w:tblW w:w="8547" w:type="dxa"/>
        <w:jc w:val="left"/>
        <w:tblInd w:w="0" w:type="dxa"/>
        <w:tblLayout w:type="fixed"/>
        <w:tblCellMar>
          <w:top w:w="28" w:type="dxa"/>
          <w:left w:w="28" w:type="dxa"/>
          <w:bottom w:w="28" w:type="dxa"/>
          <w:right w:w="28" w:type="dxa"/>
        </w:tblCellMar>
      </w:tblPr>
      <w:tblGrid>
        <w:gridCol w:w="5551"/>
        <w:gridCol w:w="146"/>
        <w:gridCol w:w="211"/>
        <w:gridCol w:w="841"/>
        <w:gridCol w:w="166"/>
        <w:gridCol w:w="146"/>
        <w:gridCol w:w="219"/>
        <w:gridCol w:w="876"/>
        <w:gridCol w:w="391"/>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Preferred stock, $0.0001 par value; 50,000,000 shares </w:t>
              <w:br/>
              <w:t xml:space="preserve">   authorized at June 30, 2026 and December 31, 2025; </w:t>
              <w:br/>
              <w:t xml:space="preserve">   no shares issued and outstanding at June 30, 2026 and </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500,000,000 shares authorized </w:t>
              <w:br/>
              <w:t xml:space="preserve">   at June 30, 2026 and December 31, 2025; 59,662,877 and </w:t>
              <w:br/>
              <w:t xml:space="preserve">   53,706,357 shares issued and outstanding at June 30, 2026 and </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comp_loss"/>
      <w:bookmarkEnd w:id="4"/>
      <w:r>
        <w:rPr>
          <w:rFonts w:ascii="Times New Roman" w:hAnsi="Times New Roman"/>
          <w:b/>
          <w:color w:val="000000"/>
          <w:sz w:val="20"/>
        </w:rPr>
        <w:t>Tyra Biosciences, Inc.</w:t>
      </w:r>
      <w:r>
        <w:rPr>
          <w:rFonts w:ascii="Times New Roman" w:hAnsi="Times New Roman"/>
          <w:color w:val="000000"/>
          <w:sz w:val="20"/>
        </w:rPr>
        <w:br/>
      </w:r>
      <w:r>
        <w:rPr>
          <w:rFonts w:ascii="Times New Roman" w:hAnsi="Times New Roman"/>
          <w:b/>
          <w:color w:val="000000"/>
          <w:sz w:val="20"/>
        </w:rPr>
        <w:t>Condensed Statements of Operations and Comprehensive Loss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(unaudited)</w:t>
        <w:b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used to compute net </w:t>
              <w:br/>
              <w: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59,550,771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59,442,646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_equity"/>
      <w:bookmarkEnd w:id="5"/>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23"/>
        <w:gridCol w:w="146"/>
        <w:gridCol w:w="146"/>
        <w:gridCol w:w="1036"/>
        <w:gridCol w:w="146"/>
        <w:gridCol w:w="146"/>
        <w:gridCol w:w="261"/>
        <w:gridCol w:w="430"/>
        <w:gridCol w:w="146"/>
        <w:gridCol w:w="146"/>
        <w:gridCol w:w="243"/>
        <w:gridCol w:w="902"/>
        <w:gridCol w:w="146"/>
        <w:gridCol w:w="146"/>
        <w:gridCol w:w="461"/>
        <w:gridCol w:w="1054"/>
        <w:gridCol w:w="166"/>
        <w:gridCol w:w="146"/>
        <w:gridCol w:w="211"/>
        <w:gridCol w:w="841"/>
        <w:gridCol w:w="166"/>
        <w:gridCol w:w="146"/>
        <w:gridCol w:w="263"/>
        <w:gridCol w:w="974"/>
        <w:gridCol w:w="214"/>
      </w:tblGrid>
      <w:tr>
        <w:trPr/>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50,749,945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pursuant </w:t>
              <w:br/>
              <w:t>   to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Vesting of shares of common stock </w:t>
              <w:br/>
              <w:t>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53,089,957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53,233,494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302,147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8"/>
        <w:gridCol w:w="146"/>
        <w:gridCol w:w="146"/>
        <w:gridCol w:w="1036"/>
        <w:gridCol w:w="146"/>
        <w:gridCol w:w="146"/>
        <w:gridCol w:w="261"/>
        <w:gridCol w:w="430"/>
        <w:gridCol w:w="146"/>
        <w:gridCol w:w="146"/>
        <w:gridCol w:w="238"/>
        <w:gridCol w:w="883"/>
        <w:gridCol w:w="146"/>
        <w:gridCol w:w="146"/>
        <w:gridCol w:w="464"/>
        <w:gridCol w:w="1062"/>
        <w:gridCol w:w="166"/>
        <w:gridCol w:w="146"/>
        <w:gridCol w:w="211"/>
        <w:gridCol w:w="841"/>
        <w:gridCol w:w="166"/>
        <w:gridCol w:w="146"/>
        <w:gridCol w:w="258"/>
        <w:gridCol w:w="956"/>
        <w:gridCol w:w="215"/>
      </w:tblGrid>
      <w:tr>
        <w:trPr/>
        <w:tc>
          <w:tcPr>
            <w:tcW w:w="1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xml:space="preserve">   at-the-market offering program, net </w:t>
              <w:br/>
              <w:t>   of $2.1 million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59,469,687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387,575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w:t>
              <w:br/>
              <w: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loss on marketable </w:t>
              <w:br/>
              <w:t>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59,662,877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353,664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sz w:val="20"/>
        </w:rPr>
      </w:pPr>
      <w:bookmarkStart w:id="6" w:name="statement_cash_flows"/>
      <w:bookmarkEnd w:id="6"/>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Cash Flows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7"/>
        <w:gridCol w:w="146"/>
        <w:gridCol w:w="211"/>
        <w:gridCol w:w="841"/>
        <w:gridCol w:w="166"/>
        <w:gridCol w:w="146"/>
        <w:gridCol w:w="211"/>
        <w:gridCol w:w="736"/>
        <w:gridCol w:w="611"/>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Right-of-use assets and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under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under at-the-market offering program, net of $2.1 million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increase (decrease)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condensed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included in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Vesting of options early exercised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b/>
          <w:color w:val="000000"/>
          <w:sz w:val="20"/>
        </w:rPr>
      </w:pPr>
      <w:bookmarkStart w:id="7" w:name="notes_consolidated_financial_statements"/>
      <w:bookmarkEnd w:id="7"/>
      <w:r>
        <w:rPr>
          <w:rFonts w:ascii="Times New Roman" w:hAnsi="Times New Roman"/>
          <w:b/>
          <w:color w:val="000000"/>
          <w:sz w:val="20"/>
        </w:rPr>
        <w:t>Notes to the Condensed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Summary of Significant Accounting Policies</w:t>
      </w:r>
    </w:p>
    <w:p>
      <w:pPr>
        <w:pStyle w:val="TextBody"/>
        <w:bidi w:val="0"/>
        <w:spacing w:before="24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which product candidates may demonstrate the highest potency, selectivity and tolerability. The Company’s focus is on applying its accelerated small molecule drug discovery engine to develop therapies in targeted oncology and genetically defined conditions.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and six months ended June 30, 2026 and 2025 are not necessarily indicative of the results expected for the full fiscal year or any subsequent interim period. The condensed balance sheet at June 30, 2026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2025. </w:t>
      </w:r>
    </w:p>
    <w:p>
      <w:pPr>
        <w:pStyle w:val="TextBody"/>
        <w:bidi w:val="0"/>
        <w:spacing w:before="240" w:after="283"/>
        <w:jc w:val="left"/>
        <w:rPr>
          <w:rFonts w:ascii="Times New Roman" w:hAnsi="Times New Roman"/>
          <w:sz w:val="20"/>
        </w:rPr>
      </w:pPr>
      <w:r>
        <w:rPr>
          <w:rFonts w:ascii="Times New Roman" w:hAnsi="Times New Roman"/>
          <w:b/>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there have been no changes to the Company’s significant accounting policies as described in the Company’s Annual Report on Form 10-K for the year ended December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measures cash equivalents and available-for-sale debt securities at fair value. Fair value is defined as an exit price, representing the amount that would be received to sell an asset or paid to transfer a liability in an orderly transaction between market participants. Therefore, fair value is a market-based measurement that is determined based on assumptions that market participants would use in pricing an asset or liability. Fair value is affected by a number of factors, including the type of asset or liability, the characteristics specific to the asset or liability and the state of the marketplace, including the existence and transparency of transactions between market participants. As a basis for considering such assumptions, the accounting guidance establishes a three-tier fair value hierarchy, which prioritizes the inputs used in measuring fair value as follows:</w:t>
      </w:r>
    </w:p>
    <w:p>
      <w:pPr>
        <w:pStyle w:val="TextBody"/>
        <w:bidi w:val="0"/>
        <w:spacing w:before="24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—Unadjusted quoted prices in active markets that are accessible at the measurement date for identical, unrestricted assets or liabilities.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—Quoted prices for similar assets and liabilities in active markets, quoted prices in markets that are not active, or inputs that are observable, either directly or indirectly, for substantially the full term of the asset or liability. </w:t>
      </w:r>
    </w:p>
    <w:p>
      <w:pPr>
        <w:pStyle w:val="TextBody"/>
        <w:bidi w:val="0"/>
        <w:spacing w:before="24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—Prices or valuation techniques that require inputs that are both significant to the fair value measurement and unobservable (i.e. supported by little or no market activity).</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Money market funds are highly liquid investments and are classified as Level 1. The pricing information for these assets is readily available and can be independently validated as of the measurement date. Available-for-sale debt securities, including U.S. Treasury securities and U.S. Agency bonds are classified as Level 2. These securities are valued using fair value from third-party pricing services, which may use observable inputs based on real-time trade data for similar assets, broker/dealer quotes, bids and/or offers and other observable inputs. The Company validates valuations obtained from third-party pricing services by understanding the models used and obtaining market values from independent 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Marketable securities consist of debt securities of government-sponsored entities. These securities are classified as available-for-sale, as the sale of such securities may be required prior to their maturity. Available-for-sale securities are recorded at fair value, with the related unrealized gains and losses included in accumulated other comprehensive income or loss and included as a separate component of stockholders’ equity. The amortized cost of available-for-sale securities reflects amortization of premiums and accretion of discounts to maturity. Premiums and discounts on debt securities are amortized or accreted into interest and other income, net. The Company classifies investments in marketable debt securities as current assets, regardless of the stated maturity date, which may be beyond one year from the current balance sheet date. Short-term classification reflects management’s view that the entire portfolio is available, and the Company may use the proceeds from sales of these investments to fund current operations, as necessary.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regularly reviews its portfolio for declines in fair value. For investments in an unrealized loss position, the Company assesses whether the decline is based on credit losses or other factors. As part of this assessment, the Company considers the cause of the impairment, the creditworthiness of the security issuers, current market conditions, the number of securities in an unrealized loss position, the severity of the losses, whether it will be required or will intend to sell the investment before recovery of its amortized cost basis. If fair value decline is determined to be due to a credit-related factor, the amortized cost basis is written down to fair value through net loss. If fair value decline is not due to credit-related factors, a loss is recorded in other comprehensive income or loss. The Company recognizes an allowance for credit losses up to the amount of the unrealized loss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measure an allowance for credit losses for accrued interest receivables. For the purposes of identifying and measuring an impairment, accrued interest is excluded from both the fair value and amortized costs basis of the investment. Uncollectible accrued interest receivables associated with an impaired marketable security are reversed against interest income in a timely manner upon identification of the impairment.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cash is comprised of cash that is restricted as to its withdrawal or use under the terms of certain contractual agreements. Restricted cash as of June 30, 2026 and December 31, 2025 was $1.0 million, which consisted of collateral for letters of credit related to the Company’s operating leases. Restricted cash is presented as a current or non-current asset based on when the restriction is expected to expire. The current portion of restricted cash is presented in Prepaid expenses and other current assets and the non-current portion is presented in Restricted cash on the condensed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Pre-funded warrants are considered outstanding for the purposes of computing basic and diluted net loss per share because shares may be issued for little or no additional consideration and are fully vested and exercisable after the original issuance date of the pre-funded warrant. The Company’s potentially dilutive securities include outstanding stock options under the Company’s equity incentive plan, unvested restricted stock units (RSUs), and estimated shares purchasable under the employee stock purchase plan. These securities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Issued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2.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show the Company’s cash equivalents and marketable securities measured at fair value as of June 30, 2026 and December 31, 2025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91"/>
        <w:gridCol w:w="211"/>
        <w:gridCol w:w="781"/>
        <w:gridCol w:w="146"/>
        <w:gridCol w:w="593"/>
        <w:gridCol w:w="1902"/>
        <w:gridCol w:w="146"/>
        <w:gridCol w:w="432"/>
        <w:gridCol w:w="1602"/>
        <w:gridCol w:w="146"/>
        <w:gridCol w:w="741"/>
        <w:gridCol w:w="1219"/>
        <w:gridCol w:w="295"/>
      </w:tblGrid>
      <w:tr>
        <w:trPr/>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211"/>
        <w:gridCol w:w="781"/>
        <w:gridCol w:w="146"/>
        <w:gridCol w:w="593"/>
        <w:gridCol w:w="1902"/>
        <w:gridCol w:w="146"/>
        <w:gridCol w:w="432"/>
        <w:gridCol w:w="1602"/>
        <w:gridCol w:w="146"/>
        <w:gridCol w:w="741"/>
        <w:gridCol w:w="1219"/>
        <w:gridCol w:w="295"/>
      </w:tblGrid>
      <w:tr>
        <w:trPr/>
        <w:tc>
          <w:tcPr>
            <w:tcW w:w="1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agency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the Company’s prepaid and other current assets, accounts payable, and accrued and other current liabilities approximate fair value due to their short maturities. None of the Company’s non-financial assets or liabilities are recorded at fair value on a non-recurring basis. There were no transfers between Levels 1, 2 or 3 for any of the periods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the Company’s marketable securities (see below and Note 2) accounted for as available-for-sale securities (in thousands, except years):</w:t>
      </w:r>
    </w:p>
    <w:tbl>
      <w:tblPr>
        <w:tblW w:w="10205" w:type="dxa"/>
        <w:jc w:val="left"/>
        <w:tblInd w:w="0" w:type="dxa"/>
        <w:tblLayout w:type="fixed"/>
        <w:tblCellMar>
          <w:top w:w="28" w:type="dxa"/>
          <w:left w:w="28" w:type="dxa"/>
          <w:bottom w:w="28" w:type="dxa"/>
          <w:right w:w="28" w:type="dxa"/>
        </w:tblCellMar>
      </w:tblPr>
      <w:tblGrid>
        <w:gridCol w:w="2878"/>
        <w:gridCol w:w="1207"/>
        <w:gridCol w:w="254"/>
        <w:gridCol w:w="942"/>
        <w:gridCol w:w="146"/>
        <w:gridCol w:w="490"/>
        <w:gridCol w:w="807"/>
        <w:gridCol w:w="146"/>
        <w:gridCol w:w="399"/>
        <w:gridCol w:w="912"/>
        <w:gridCol w:w="166"/>
        <w:gridCol w:w="332"/>
        <w:gridCol w:w="1231"/>
        <w:gridCol w:w="295"/>
      </w:tblGrid>
      <w:tr>
        <w:trPr/>
        <w:tc>
          <w:tcPr>
            <w:tcW w:w="287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177,567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81,864</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280,109</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7"/>
        <w:gridCol w:w="1210"/>
        <w:gridCol w:w="254"/>
        <w:gridCol w:w="942"/>
        <w:gridCol w:w="146"/>
        <w:gridCol w:w="432"/>
        <w:gridCol w:w="867"/>
        <w:gridCol w:w="146"/>
        <w:gridCol w:w="496"/>
        <w:gridCol w:w="817"/>
        <w:gridCol w:w="146"/>
        <w:gridCol w:w="333"/>
        <w:gridCol w:w="1234"/>
        <w:gridCol w:w="295"/>
      </w:tblGrid>
      <w:tr>
        <w:trPr/>
        <w:tc>
          <w:tcPr>
            <w:tcW w:w="288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3"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Maturity </w:t>
              <w:br/>
              <w:t>(in years)</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107,547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than one</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2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178,616</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fair values and gross unrealized losses for those available-for-sale securities that were in an unrealized loss position, aggregated by category and the length of time that the securities have been in a continuous loss position (in thousands):</w:t>
      </w:r>
    </w:p>
    <w:tbl>
      <w:tblPr>
        <w:tblW w:w="10205" w:type="dxa"/>
        <w:jc w:val="left"/>
        <w:tblInd w:w="0" w:type="dxa"/>
        <w:tblLayout w:type="fixed"/>
        <w:tblCellMar>
          <w:top w:w="28" w:type="dxa"/>
          <w:left w:w="28" w:type="dxa"/>
          <w:bottom w:w="28" w:type="dxa"/>
          <w:right w:w="28" w:type="dxa"/>
        </w:tblCellMar>
      </w:tblPr>
      <w:tblGrid>
        <w:gridCol w:w="2211"/>
        <w:gridCol w:w="211"/>
        <w:gridCol w:w="781"/>
        <w:gridCol w:w="146"/>
        <w:gridCol w:w="146"/>
        <w:gridCol w:w="351"/>
        <w:gridCol w:w="801"/>
        <w:gridCol w:w="166"/>
        <w:gridCol w:w="146"/>
        <w:gridCol w:w="280"/>
        <w:gridCol w:w="459"/>
        <w:gridCol w:w="156"/>
        <w:gridCol w:w="156"/>
        <w:gridCol w:w="435"/>
        <w:gridCol w:w="716"/>
        <w:gridCol w:w="146"/>
        <w:gridCol w:w="146"/>
        <w:gridCol w:w="211"/>
        <w:gridCol w:w="781"/>
        <w:gridCol w:w="146"/>
        <w:gridCol w:w="146"/>
        <w:gridCol w:w="351"/>
        <w:gridCol w:w="801"/>
        <w:gridCol w:w="316"/>
      </w:tblGrid>
      <w:tr>
        <w:trPr/>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were 69 available-for-sale securities with an estimated fair value of $241.1 million in gross unrealized loss positions for less than 12 months. As of June 30, 2026, unrealized losses on available-for-sale securities are not attributed to credit risk. The Company believes that an allowance for credit losses is unnecessary because the unrealized loss is due to market factors and interest rate fluctuations. Additionally, the Company does not intend to sell the securities nor is it more likely than not that the Company will be required to sell the securities before recovery of their amortized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were no available-for-sale securities in an unrealized loss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amortized cost and fair value of marketable securities exclude $2.5 million and $1.9 million of accrued interest receivable as of June 30, 2026 and December 31, 2025, respectively. Accrued interest receivable is included in prepaid expenses and other current assets on the Company’s condensed balance sheets.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 Accrued Expenses and Other Current Liabilities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872"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60"/>
        <w:gridCol w:w="835"/>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general and administrative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 Stockholders</w:t>
      </w:r>
      <w:r>
        <w:rPr>
          <w:rFonts w:ascii="Times New Roman" w:hAnsi="Times New Roman"/>
          <w:color w:val="000000"/>
          <w:sz w:val="20"/>
        </w:rPr>
        <w:t xml:space="preserve">’ </w:t>
      </w:r>
      <w:r>
        <w:rPr>
          <w:rFonts w:ascii="Times New Roman" w:hAnsi="Times New Roman"/>
          <w:b/>
          <w:color w:val="000000"/>
          <w:sz w:val="20"/>
        </w:rPr>
        <w:t>Equity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Common stock reserved for future issuance consisted of the following:</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13,617,445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2021</w:t>
              <w:br/>
              <w:t>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available for future issuance under the </w:t>
              <w:br/>
              <w:t>   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6,381,950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25,436,484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23,480,092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the Company entered into a sales agreement (the 2025 Sales Agreement) with TD Securities (USA) LLC (the Sales Agent), under which the Company could, from time to time, sell shares of its common stock having an aggregate offering price of up to $150.0 million, in at-the-market offerings through the Sales Agent. Sales of the shares of common stock, if any, could be made at prevailing market prices at the time of sale, or as otherwise agreed with the Sales Agent, in accordance with the terms of the 2025 Sales Agreement. During the three months ended March 31, 2026, the Company sold an aggregate of 4,690,532 shares of common stock for net proceeds of $147.9 million, after deducting offering expenses, fully utilizing the capacity under the 2025 Sales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 2024, the Company entered into a securities purchase agreement, pursuant to which the Company sold 9,286,023 shares of the Company’s common stock at a price of $13.01 per share and pre-funded warrants (the 2024 Pre-Funded Warrants) to purchase 6,087,230 shares of common stock at a purchase price of $13.009 per pre-funded warrant. Each pre-funded warrant has an exercise price of $0.001 per share of common stock, is immediately exercisable on the date of issuance and will not expire. The Company received gross proceeds of $200.0 million, before deducting offering expenses of $0.4 million. The 2024 Pre-funded Warrants did not meet the characteristics of a liability or a derivative and are classified within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18, 2024, the Company entered into an exchange agreement with certain stockholders to exchange 3,000,000 shares of the Company’s common stock for pre-funded warrants to acquire 3,000,000 shares of common stock (the Exchange Warrants). Each Exchange Warrant has an exercise price of $0.001 per share of common stock, is immediately exercisable on the date of issuance and will not expire. The Exchange Warrants did not meet the characteristics of a liability or a derivative and are classified within stockholders’ equity.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 total of 6,381,950 pre-funded warrants remained available for exercise, including 5,381,950 2024 Pre-Funded Warrants and 1,000,000 Exchange Warrants. There were no pre-funded warrant exercises during the six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Equity Incentive Plans and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2021 Incentive Award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2021, the Company’s Board of Directors adopted, and its stockholders approved, the 2021 Incentive Award Plan (the 2021 Plan). Upon the adoption of the 2021 Plan, the Company restricted the grant of future equity awards under the 2020 Equity Incentive Plan (the 2020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2021 Plan provides for the grants of stock options, RSUs and other equity-based awards to employees, non-employee directors and consultants of the Company. Shares that are forfeited or expired under the 2020 Plan are added back to the 2021 Plan share reserve.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The Company issues new shares of common stock upon exercise of options and vesting of RSUs. As of June 30, 2026, 1,746,962 shares were available for future grant under the 2021 Plan.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summary of the Company’s stock option activity for the period ended June 30, 2026 is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3696"/>
        <w:gridCol w:w="146"/>
        <w:gridCol w:w="146"/>
        <w:gridCol w:w="1036"/>
        <w:gridCol w:w="166"/>
        <w:gridCol w:w="146"/>
        <w:gridCol w:w="396"/>
        <w:gridCol w:w="1075"/>
        <w:gridCol w:w="146"/>
        <w:gridCol w:w="146"/>
        <w:gridCol w:w="423"/>
        <w:gridCol w:w="1048"/>
        <w:gridCol w:w="146"/>
        <w:gridCol w:w="146"/>
        <w:gridCol w:w="245"/>
        <w:gridCol w:w="906"/>
        <w:gridCol w:w="192"/>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186,669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226,331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226,331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intrinsic value of stock options exercised during the six months ended June 30, 2026 and 2025 was $28.0 million and $3.3 million, respectively.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fair value of stock options was estimated using the following assumptions: </w:t>
      </w:r>
    </w:p>
    <w:tbl>
      <w:tblPr>
        <w:tblW w:w="5391" w:type="dxa"/>
        <w:jc w:val="left"/>
        <w:tblInd w:w="0" w:type="dxa"/>
        <w:tblLayout w:type="fixed"/>
        <w:tblCellMar>
          <w:top w:w="28" w:type="dxa"/>
          <w:left w:w="28" w:type="dxa"/>
          <w:bottom w:w="28" w:type="dxa"/>
          <w:right w:w="28" w:type="dxa"/>
        </w:tblCellMar>
      </w:tblPr>
      <w:tblGrid>
        <w:gridCol w:w="2626"/>
        <w:gridCol w:w="146"/>
        <w:gridCol w:w="1141"/>
        <w:gridCol w:w="146"/>
        <w:gridCol w:w="114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5.3 - 6.1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72.9 - 81.9%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86.3 - 95.4%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for the six months ended June 30, 2026 and 2025 was $23.37 and $8.30 per share, respectively. </w:t>
      </w:r>
    </w:p>
    <w:p>
      <w:pPr>
        <w:pStyle w:val="TextBody"/>
        <w:bidi w:val="0"/>
        <w:spacing w:before="240" w:after="240"/>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RSUs are share awards that, upon vesting, will deliver to the holder shares of our common stock. The Company began issuing RSUs in 2026. The RSUs generally vest annually over four years provided the individual remains in continuous service of the Company. The fair value of RSUs is based on the closing price of the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Company's common stock on the grant date. A summary of the Company’s RSU activity for the period ended June 30, 2026 is as follows:</w:t>
      </w:r>
    </w:p>
    <w:tbl>
      <w:tblPr>
        <w:tblW w:w="7697" w:type="dxa"/>
        <w:jc w:val="left"/>
        <w:tblInd w:w="0" w:type="dxa"/>
        <w:tblLayout w:type="fixed"/>
        <w:tblCellMar>
          <w:top w:w="28" w:type="dxa"/>
          <w:left w:w="28" w:type="dxa"/>
          <w:bottom w:w="28" w:type="dxa"/>
          <w:right w:w="28" w:type="dxa"/>
        </w:tblCellMar>
      </w:tblPr>
      <w:tblGrid>
        <w:gridCol w:w="2941"/>
        <w:gridCol w:w="146"/>
        <w:gridCol w:w="146"/>
        <w:gridCol w:w="781"/>
        <w:gridCol w:w="166"/>
        <w:gridCol w:w="146"/>
        <w:gridCol w:w="856"/>
        <w:gridCol w:w="232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2021, the Company’s Board of Directors adopted, and its stockholders approved, the 2021 Employee Stock Purchase Plan (ESPP). 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As of June 30, 2026, there were 2,442,458 shares available for future purchase under the ESPP.</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Stock-based compensation expense recognized for all equity awards, including stock options, RSUs and ESPP, has been reported in the condensed statements of operations and comprehensive loss as follows (in thousands):</w:t>
      </w:r>
    </w:p>
    <w:tbl>
      <w:tblPr>
        <w:tblW w:w="7672" w:type="dxa"/>
        <w:jc w:val="left"/>
        <w:tblInd w:w="0" w:type="dxa"/>
        <w:tblLayout w:type="fixed"/>
        <w:tblCellMar>
          <w:top w:w="28" w:type="dxa"/>
          <w:left w:w="28" w:type="dxa"/>
          <w:bottom w:w="28" w:type="dxa"/>
          <w:right w:w="28" w:type="dxa"/>
        </w:tblCellMar>
      </w:tblPr>
      <w:tblGrid>
        <w:gridCol w:w="3016"/>
        <w:gridCol w:w="146"/>
        <w:gridCol w:w="211"/>
        <w:gridCol w:w="676"/>
        <w:gridCol w:w="146"/>
        <w:gridCol w:w="146"/>
        <w:gridCol w:w="211"/>
        <w:gridCol w:w="571"/>
        <w:gridCol w:w="146"/>
        <w:gridCol w:w="146"/>
        <w:gridCol w:w="211"/>
        <w:gridCol w:w="676"/>
        <w:gridCol w:w="146"/>
        <w:gridCol w:w="146"/>
        <w:gridCol w:w="211"/>
        <w:gridCol w:w="67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and 2025, stock-based compensation expense reversals related to award forfeitures were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unrecognized compensation cost related to stock options and RSUs was $115.6 million and $14.9 million, respectively, and is expected to be recognized as expense over weighted-average periods of 2.7 years and 3.8 years,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Net Loss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59,550,771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59,442,646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to compute 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65,991,171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59,550,771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59,442,646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Shares issuable pursuant to the 2024 Pre-Funded Warrants and the Exchange Warrants are included in the calculation of weighted-average shares of common stock outstanding, both basic and diluted, for the three and six months ended June 30, 2026 and 2025. These warrants are exercisable at any time for nominal consideration, and therefore, the shares thereunder are considered outstanding for the purpose of calculating basic and diluted net loss per share.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the outstanding potentially dilutive securities that have been excluded from the calculation of diluted net loss per share because their inclusion would be anti-dilutive. </w:t>
      </w:r>
    </w:p>
    <w:tbl>
      <w:tblPr>
        <w:tblW w:w="6774" w:type="dxa"/>
        <w:jc w:val="left"/>
        <w:tblInd w:w="0" w:type="dxa"/>
        <w:tblLayout w:type="fixed"/>
        <w:tblCellMar>
          <w:top w:w="28" w:type="dxa"/>
          <w:left w:w="28" w:type="dxa"/>
          <w:bottom w:w="28" w:type="dxa"/>
          <w:right w:w="28" w:type="dxa"/>
        </w:tblCellMar>
      </w:tblPr>
      <w:tblGrid>
        <w:gridCol w:w="3781"/>
        <w:gridCol w:w="146"/>
        <w:gridCol w:w="146"/>
        <w:gridCol w:w="1036"/>
        <w:gridCol w:w="146"/>
        <w:gridCol w:w="146"/>
        <w:gridCol w:w="146"/>
        <w:gridCol w:w="1036"/>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purchasable under the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14,898,876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10,433,193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two operating leases for its office and laboratory space in Carlsbad, California that expire in November 2033. The Company has an option to renew the leases for two additional three-year periods. The Company did not include the renewal periods in determining the lease term, as the Company was not reasonably certain to exercise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Company’s lease agreements, the Company paid security deposits of $0.1 million and is required to maintain a letter of credit of $1.0 million. The letter of credit may be reduced to $0.9 million in 2027 and further reduced to $0.5 million in 2028.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 was $0.2 million and $0.4 million for the three and six months ended June 30, 2026, respectively, and $0.2 million and $0.4 million for the three and six months ended June 30, 2025,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expense, which includes operating, short-term and variable lease costs, is recorded within research and development and general and administrative expenses in the condensed statements of operations and comprehensive loss. Components of lease cost for the three and six months ended June 30, 2026 and 2025, respectively, were as follows (in thousands):</w:t>
      </w:r>
    </w:p>
    <w:tbl>
      <w:tblPr>
        <w:tblW w:w="5588" w:type="dxa"/>
        <w:jc w:val="left"/>
        <w:tblInd w:w="0" w:type="dxa"/>
        <w:tblLayout w:type="fixed"/>
        <w:tblCellMar>
          <w:top w:w="28" w:type="dxa"/>
          <w:left w:w="28" w:type="dxa"/>
          <w:bottom w:w="28" w:type="dxa"/>
          <w:right w:w="28" w:type="dxa"/>
        </w:tblCellMar>
      </w:tblPr>
      <w:tblGrid>
        <w:gridCol w:w="1801"/>
        <w:gridCol w:w="146"/>
        <w:gridCol w:w="217"/>
        <w:gridCol w:w="434"/>
        <w:gridCol w:w="150"/>
        <w:gridCol w:w="150"/>
        <w:gridCol w:w="217"/>
        <w:gridCol w:w="434"/>
        <w:gridCol w:w="146"/>
        <w:gridCol w:w="146"/>
        <w:gridCol w:w="211"/>
        <w:gridCol w:w="421"/>
        <w:gridCol w:w="146"/>
        <w:gridCol w:w="146"/>
        <w:gridCol w:w="211"/>
        <w:gridCol w:w="42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Maturities of lease liabilities, weighted-average remaining term and weighted-average discount rate were as follows (in thousands):</w:t>
      </w:r>
    </w:p>
    <w:tbl>
      <w:tblPr>
        <w:tblW w:w="4665" w:type="dxa"/>
        <w:jc w:val="left"/>
        <w:tblInd w:w="0" w:type="dxa"/>
        <w:tblLayout w:type="fixed"/>
        <w:tblCellMar>
          <w:top w:w="28" w:type="dxa"/>
          <w:left w:w="28" w:type="dxa"/>
          <w:bottom w:w="28" w:type="dxa"/>
          <w:right w:w="28" w:type="dxa"/>
        </w:tblCellMar>
      </w:tblPr>
      <w:tblGrid>
        <w:gridCol w:w="3286"/>
        <w:gridCol w:w="146"/>
        <w:gridCol w:w="211"/>
        <w:gridCol w:w="631"/>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65" w:type="dxa"/>
        <w:jc w:val="left"/>
        <w:tblInd w:w="0" w:type="dxa"/>
        <w:tblLayout w:type="fixed"/>
        <w:tblCellMar>
          <w:top w:w="28" w:type="dxa"/>
          <w:left w:w="28" w:type="dxa"/>
          <w:bottom w:w="28" w:type="dxa"/>
          <w:right w:w="28" w:type="dxa"/>
        </w:tblCellMar>
      </w:tblPr>
      <w:tblGrid>
        <w:gridCol w:w="5371"/>
        <w:gridCol w:w="146"/>
        <w:gridCol w:w="172"/>
        <w:gridCol w:w="548"/>
        <w:gridCol w:w="271"/>
        <w:gridCol w:w="146"/>
        <w:gridCol w:w="261"/>
        <w:gridCol w:w="834"/>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incremental borrowing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ongoing clinical and pre-clinical studies for its various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party to litigation arising in the ordinary course of business. The Company was not subject to any material legal proceedings as of June 30, 2026, and no material legal proceedings are currently pending or threatened. If the potential loss from any claim, asserted or unasserted, or legal proceeding is considered probable and the amount is reasonably estimable, the Company will accrue a liability for the estimated loss.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segment information based on the management approach, which reflects the way in which the internal reporting is used by the chief operating decision maker (CODM) to analyze performance, make decisions and allocate resources. The CODM is the Company’s Chief Executive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reportable segment, which includes all activities related to the research, development, and potential future commercialization of its small molecule drug development candidates. The CODM assesses performance and decides how to allocate resources based on net loss (presented in the condensed statements of operations and comprehensive loss). The measure of segment assets is reported on the condensed balance sheets as total assets. All long-lived assets are located in the United States.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table below shows a reconciliation of the Company’s net loss, including the significant expense categories regularly provided to and reviewed by the CODM, to the Company’s total net loss in the condensed statements of operations and comprehensive loss (in thousands):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36"/>
        <w:gridCol w:w="166"/>
        <w:gridCol w:w="146"/>
        <w:gridCol w:w="211"/>
        <w:gridCol w:w="736"/>
        <w:gridCol w:w="166"/>
        <w:gridCol w:w="146"/>
        <w:gridCol w:w="211"/>
        <w:gridCol w:w="736"/>
        <w:gridCol w:w="166"/>
        <w:gridCol w:w="146"/>
        <w:gridCol w:w="211"/>
        <w:gridCol w:w="736"/>
        <w:gridCol w:w="39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research and development expenses by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Dabogratinib LG-UTUC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Dabogratinib IR NMIBC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Dabogratinib 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Dabogratinib mUC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TYRA-430 HCC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TYRA-200 ICC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FGFR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development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Personnel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000000"/>
              </w:rPr>
              <w:t>      </w:t>
            </w:r>
            <w:r>
              <w:rPr>
                <w:rFonts w:ascii="Times New Roman" w:hAnsi="Times New Roman"/>
                <w:color w:val="000000"/>
                <w:sz w:val="20"/>
              </w:rPr>
              <w:t>Facilities and other costs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 expenses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Personnel costs include $5.8 million and $3.7 million of stock-based compensation for the three months ended June 30, 2026 and 2025, respectively, and $10.3 million and $7.4 million of stock-based compensation for the six months ended June 30, 2026 and 2025, respectively.</w:t>
      </w:r>
    </w:p>
    <w:p>
      <w:pPr>
        <w:pStyle w:val="TextBody"/>
        <w:bidi w:val="0"/>
        <w:spacing w:before="12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Facilities and other costs consist of research consumables, facility-related costs, depreciation and costs not attributed to a specific program.</w:t>
      </w:r>
    </w:p>
    <w:p>
      <w:pPr>
        <w:pStyle w:val="TextBody"/>
        <w:bidi w:val="0"/>
        <w:spacing w:before="12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General and administrative expenses consist of personnel-related expenses, including stock-based compensation, legal fees, facility-related costs, depreciation, professional and consulting fees and insurance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4, 2026, the Company amended the 2025 Sales Agreement with the Sales Agent to increase the number of shares of its common stock that the Company may offer and sell in at-the-market offerings from $150.0 million to up to the amount registered on the effective registration statement under which the offering is made, subject to other limitations.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_item2"/>
      <w:bookmarkEnd w:id="8"/>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and the unaudited interim condensed financial statements included in this Quarterly Report on Form 10-Q should be read in conjunction with the financial statements and notes thereto for the year ended December 31, 2025 and the related Management’s Discussion and Analysis of Financial Condition and Results of Operations, both of which are contained in the Annual Report on Form 10-K for the year ended December 31, 2025 (the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potential benefits of regulatory designations,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next-generation precision medicines for large opportunities in targeted oncology and genetically defined conditions, harnessing the power of Fibroblast Growth Factor Receptor (FGFR) biology.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in-house precision medicine platform, SNÅP, enables rapid and precise drug design through iterative molecular SNÅPshots that help us design and predict which product candidates may demonstrate the highest potency, selectivity and tolerability in the clinic. Through this approach, we have built a wholly-owned pipeline of oral small molecule product candidates focused on targets that have previously been considered difficult-to-drug.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FGFR3 Programs—oral dabogratinib for Urothelial Cancers and Skeletal Dysplasia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Alterations in the protein receptor FGFR3 are a validated driver in multiple indications with large market opportunities: urothelial cancers and skeletal dysplasia conditions. In urothelial cancer, uncontrolled activation of FGFR3 on the cell surface stimulates cellular proliferation. In skeletal dysplasia conditions, increased activity of FGFR3 expressed in growth plate chondrocytes (cartilage cells) results in excessive limitation of long bone growth.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lead program, oral dabogratinib, was designed to be more selective for FGFR3 over FGFR1, FGFR2, and FGFR4 to minimize off-target side effects, providing potential clinical advantages over less selective first-generation compounds and potentially addressing key unmet needs across both urothelial cancers and skeletal dysplasia conditions. To date, oral dabogratinib has been administered to over 200 individuals across multiple clinical and healthy volunteer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currently advancing oral dabogratinib in three Phase 2 trials for three outsized market indications: SURF303, evaluating the treatment of low-grade upper tract urothelial carcinoma (LG-UTUC); SURF302, evaluating the treatment of intermediate risk non-muscle invasive bladder cancer (IR NMIBC); and BEACH301, evaluating the treatment of achondroplasia (ACH) in children. If we are successful with these Phase 2 studies, we expect to advance oral dabogratinib toward three potential registrational trials in LG-UTUC, IR NMIBC and ACH. We are calling this approach our “dabogratinib 3x3”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SURF303 for LG-UTUC: This open-label Phase 2a/b clinical trial was designed as a potential registrational trial to evaluate the efficacy and safety of oral dabogratinib at doses of 60 mg and 80 mg once daily (QD) in participants with FGFR3-altered LG-UTUC, where approximately 85% of tumors are driven by FGFR3. The Company is currently dosing and enrolling patients in SURF303, with initial results expected in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SURF302 for IR NMIBC: This open-label Phase 2 clinical trial is evaluating the efficacy and safety of oral dabogratinib at 50 mg and 60 mg QD in participants with FGFR3-altered low-grade IR NMIBC, where approximately 70% of tumors are driven by FGFR3. The Company expects to report initial results from both dose cohorts during a conference call and webcast in September 2026, including safety results from more than 40 patients and efficacy from more than 20 patients in the aggregate at both QD dose levels.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BEACH301 for ACH: This study is an open-label, Phase 2 dose-escalation/dose-expansion trial evaluating oral dabogratinib at multiple doses (0.125, 0.25, 0.375, 0.50, and 0.625 mg/kg), in children ages 3 to 10 with ACH with open growth plates, where approximately 99% of cases are driven by FGFR3. The study has enrolled the safety sentinel cohort, consisting of at least 3 participants per dose level in children ages 5 to 10, and is enrolling a natural history run-in for cohorts 1 and 2 with children ages 3 to 10. No notable safety events have been reported to date. Initial results from the safety sentinel cohort, including 6-month annualized height velocity and safety data from all five dose levels, are expected to be reported at the end of the first quarter of 2027, which will include an aggregate of approximately 25 children.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Our Other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TYRA-430 was designed to be biased for FGFR4 and FGFR3 over the FGFR1 and FGFR2 isoforms specifically to address the FGF19 signaling pathway, while also potentially limiting side effects due to inhibition of FGFR1 and FGFR2, as well as to address acquired resistance mutations that have limited the efficacy of previous FGFR4-specific inhibitors. TYRA-430 is currently being evaluated in SURF431, a global, Phase 1, multicenter, open-label trial, with a focus on achieving clinical proof-of-concept in a cohort of patients with FGF19+ hepatocellular carcinoma (HCC).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TYRA-200 is an FGFR1/2/3 inhibitor designed to be active against nearly all of the clinically identified acquired resistant mutations that arise during treatment with pan-FGFR inhibitors, which we believe is necessary to address the problem of disease progression due to polyclonal resistance. TYRA-200 is currently being evaluated in SURF201, a global, Phase 1, multicenter, open-label trial, with a focus on achieving clinical proof-of-concept in a cohort of FGFR2-driven intrahepatic cholangiocarcinoma (ICC) resistant to previous FGFR inhibitors.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Financial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the issuance of common stock and pre-funded common stock warrants through a private placement and the issuance of common stock through an at-the-market offering program. Our net losses for the six months ended June 30, 2026 and 2025 were $84.9 million and $56.2 million, respectively. As of June 30, 2026, we had an accumulated deficit of $456.1 million. As of June 30, 2026, we had cash, cash equivalents and marketable securities of $353.9 million.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if and as we continue to develop and conduct clinical trials for our product candidates, continue our research and development activities for future product candidates, expand our clinical and regulatory capabilities, add operational and management information systems and hire additional personnel, expand and protect our intellectual property, establish marketing, sales, distribution and other commercialization capabilities if we obtain approval for any of our product candidates and incur additional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cash, cash equivalents and marketable securities as of June 30, 2026 will be sufficient to fund our operating expenses and capital expenditures into the second half of 2028. We have never generated any revenue and do not expect to generate any revenue from product sales unless and until we successfully complete the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our research and development expenses consist primarily of external and internal costs related to the development of our SNÅP platform and our product candidates and development programs. Our research and development expenses primarily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costs,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consultants for chemistry, manufacturing and controls (CMC) development, and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compounds for use in our preclinical studies, including under agreements with third parties, such as consultants and third-party manufacturers;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drug development regulatory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costs, including: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recruiting costs, travel and share-based compensation expenses for employees engaged in research and development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laboratory supplies and acquiring, developing and manufacturing preclinical study materials;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indirect expenses, which include allocated expenses for rent and maintenance of facilities, and supplies.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program-specific basis. However, we do not track internal costs, such as personnel-related expenses, stock-based compensation expense, facility-related costs and supplies and certain external consultant costs on a program-specific basis because these costs are deployed across multiple programs under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into later phases of clinical trials or through preclinical studies into and through clinical trials, continue to discover and develop additional product candidates and expand our pipeline, maintain, expand, protect and enforce our intellectual property portfolio and hire additional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research and development expenses may vary significantly based on a wide variety of factors, such as: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scope, rate of progress, expense and results of our discovery and preclinical development activities and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sites included in each of our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patients that participate in the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identify appropriate patients eligible for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 and timing of manufacturing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ability to attract and retain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geopolitical instability, including war and terrorism;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effects on the financial markets, the global economy, the supply chain and our expenses due to tariffs and trade policies, pandemic or epidemic diseases, geopolitical instability, inflation, interest rates and other factors;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establish additional strategic collaborations or other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variables with respect to the development of any of our product candidates could significantly change the costs and timing associated with the development of that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expenses, including employee salaries, bonuses, benefits, and stock-based compensation charges for personnel in executive, finance and other administrative functions. Other significant general and administrative expenses include legal fees relating to intellectual property and corporate matters, allocated facility-related costs, professional fees for accounting, tax, business development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additional personnel, audit, legal, regulatory and tax-related services associated with maintaining compliance with exchange listing and the Securities and Exchange Commission (SEC) requirements, director and officer insurance costs, and investor and public relations costs.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consists primarily of interest income from cash, cash equivalents and marketable securities and accretion income from marketable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6780" w:type="dxa"/>
        <w:jc w:val="left"/>
        <w:tblInd w:w="0" w:type="dxa"/>
        <w:tblLayout w:type="fixed"/>
        <w:tblCellMar>
          <w:top w:w="28" w:type="dxa"/>
          <w:left w:w="28" w:type="dxa"/>
          <w:bottom w:w="28" w:type="dxa"/>
          <w:right w:w="28" w:type="dxa"/>
        </w:tblCellMar>
      </w:tblPr>
      <w:tblGrid>
        <w:gridCol w:w="2721"/>
        <w:gridCol w:w="146"/>
        <w:gridCol w:w="216"/>
        <w:gridCol w:w="756"/>
        <w:gridCol w:w="170"/>
        <w:gridCol w:w="149"/>
        <w:gridCol w:w="216"/>
        <w:gridCol w:w="756"/>
        <w:gridCol w:w="166"/>
        <w:gridCol w:w="146"/>
        <w:gridCol w:w="211"/>
        <w:gridCol w:w="736"/>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periods indicated (in thousands): </w:t>
      </w:r>
    </w:p>
    <w:tbl>
      <w:tblPr>
        <w:tblW w:w="8786" w:type="dxa"/>
        <w:jc w:val="left"/>
        <w:tblInd w:w="0" w:type="dxa"/>
        <w:tblLayout w:type="fixed"/>
        <w:tblCellMar>
          <w:top w:w="28" w:type="dxa"/>
          <w:left w:w="28" w:type="dxa"/>
          <w:bottom w:w="28" w:type="dxa"/>
          <w:right w:w="28" w:type="dxa"/>
        </w:tblCellMar>
      </w:tblPr>
      <w:tblGrid>
        <w:gridCol w:w="4786"/>
        <w:gridCol w:w="146"/>
        <w:gridCol w:w="231"/>
        <w:gridCol w:w="741"/>
        <w:gridCol w:w="160"/>
        <w:gridCol w:w="160"/>
        <w:gridCol w:w="231"/>
        <w:gridCol w:w="741"/>
        <w:gridCol w:w="146"/>
        <w:gridCol w:w="146"/>
        <w:gridCol w:w="211"/>
        <w:gridCol w:w="676"/>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LG-UTUC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IR NMIBC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mUC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TYRA-430 HCC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TYRA-200 ICC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FGFR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39,197</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$39.2 million and $24.3 million for the three months ended June 30, 2026 and 2025, respectively. The $14.9 million increase was primarily driven by a $7.8 million increase in external costs, including an $8.7 million increase related to dabogratinib development activities supporting the ongoing SURF303, SURF302 and BEACH301 clinical trials, partially offset by a $0.9 million decrease in development activities for other programs. The remaining increase was driven by a $6.5 million increase in personnel-related expenses primarily due to headcount growth to support expanding clinical and development activities and a $0.5 million increase in facilities and other costs.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$9.8 million and $7.1 million for the three months ended June 30, 2026 and 2025, respectively. The increase of $2.7 million was primarily related to higher compensation and other personnel expenses, including an increase in non-cash stock-based compensation costs of $1.8 million, driven by headcount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$3.5 million and $3.4 million for the three months ended June 30, 2026 and 2025, respectively. The increase of $0.1 million was driven by higher average balances of cash, cash equivalents and marketable securities following the receipt of proceeds from the at-the-market offering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indicated (in thousands): </w:t>
      </w:r>
    </w:p>
    <w:tbl>
      <w:tblPr>
        <w:tblW w:w="6723" w:type="dxa"/>
        <w:jc w:val="left"/>
        <w:tblInd w:w="0" w:type="dxa"/>
        <w:tblLayout w:type="fixed"/>
        <w:tblCellMar>
          <w:top w:w="28" w:type="dxa"/>
          <w:left w:w="28" w:type="dxa"/>
          <w:bottom w:w="28" w:type="dxa"/>
          <w:right w:w="28" w:type="dxa"/>
        </w:tblCellMar>
      </w:tblPr>
      <w:tblGrid>
        <w:gridCol w:w="2721"/>
        <w:gridCol w:w="146"/>
        <w:gridCol w:w="211"/>
        <w:gridCol w:w="736"/>
        <w:gridCol w:w="166"/>
        <w:gridCol w:w="146"/>
        <w:gridCol w:w="211"/>
        <w:gridCol w:w="736"/>
        <w:gridCol w:w="166"/>
        <w:gridCol w:w="146"/>
        <w:gridCol w:w="211"/>
        <w:gridCol w:w="736"/>
        <w:gridCol w:w="3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by development program for the periods indicated (in thousands): </w:t>
      </w:r>
    </w:p>
    <w:tbl>
      <w:tblPr>
        <w:tblW w:w="8590" w:type="dxa"/>
        <w:jc w:val="left"/>
        <w:tblInd w:w="0" w:type="dxa"/>
        <w:tblLayout w:type="fixed"/>
        <w:tblCellMar>
          <w:top w:w="28" w:type="dxa"/>
          <w:left w:w="28" w:type="dxa"/>
          <w:bottom w:w="28" w:type="dxa"/>
          <w:right w:w="28" w:type="dxa"/>
        </w:tblCellMar>
      </w:tblPr>
      <w:tblGrid>
        <w:gridCol w:w="4786"/>
        <w:gridCol w:w="146"/>
        <w:gridCol w:w="211"/>
        <w:gridCol w:w="677"/>
        <w:gridCol w:w="146"/>
        <w:gridCol w:w="146"/>
        <w:gridCol w:w="211"/>
        <w:gridCol w:w="677"/>
        <w:gridCol w:w="146"/>
        <w:gridCol w:w="146"/>
        <w:gridCol w:w="211"/>
        <w:gridCol w:w="676"/>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LG-UTUC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IR NMIBC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Dabogratinib mUC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TYRA-430 HCC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TYRA-200 ICC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FGFR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$72.7 million and $49.3 million for the six months ended June 30, 2026 and 2025, respectively. The $23.4 million increase was primarily driven by a $12.3 million increase in external costs, including a $14.2 million increase related to dabogratinib development activities supporting the ongoing SURF303, SURF302 and BEACH301 clinical trials, partially offset by a $1.9 million decrease in development activities for other programs. The remaining increase was driven by a $10.3 million increase in personnel-related expenses due to headcount growth to support expanding clinical and development activities and a $0.8 million increase in facilities and other costs.</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$18.3 million and $14.0 million for the six months ended June 30, 2026 and 2025, respectively. The increase of $4.3 million was primarily related to higher compensation and other personnel expenses, including an increase in non-cash stock-based compensation costs of $2.4 million, driven by headcount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$6.1 million and $7.1 million for the six months ended June 30, 2026 and 2025, respectively. The decrease of $1.0 million was primarily attributable to lower interest rates, partially offset by higher average balances of cash, cash equivalents and marketable securities following the receipt of proceeds from the at-the-market offering program.</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8, 2025, we entered into a sales agreement (the 2025 Sales Agreement) with TD Securities (USA) LLC (Sales Agent), under which we could, from time to time, sell shares of our common stock having an aggregate offering price of up to $150.0 million in at-the-market offerings through the Sales Agent. During the three months ended March 31, 2026, 4,690,532 shares of common stock were issued and sold pursuant to the 2025 Sales Agreement for net proceeds of approximately $147.9 million, after deducting offering expenses, fully utilizing the capacity under the 2025 Sales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4, 2026, we entered into an amendment to the 2025 Sales Agreement (as amended, the Amended Sales Agreement) with the Sales Agent increasing the maximum aggregate offering price for shares of our common stock that we may offer and sell in at-the-market offerings through the Sales Agent under the Amended Sales Agreement from $150.0 million to such number as would not, among other limitations, exceed the number or dollar amount of shares registered on an effective registration statement pursuant to which the offering is made and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which we have filed prior to commencing the offering a prospectus or prospectus supplement. We will file a prospectus supplement with the SEC in connection with the offer and sale of up to $250.0 million of shares of our common stock pursuant to the Amended Sales Agreement on August 4, 2026. Pursuant to the Amended Sales Agreement and, after giving effect to such prospectus supplement, we may offer and sell up to an aggregate offering price of $250.0 million of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tbl>
      <w:tblPr>
        <w:tblW w:w="9598" w:type="dxa"/>
        <w:jc w:val="left"/>
        <w:tblInd w:w="0" w:type="dxa"/>
        <w:tblLayout w:type="fixed"/>
        <w:tblCellMar>
          <w:top w:w="28" w:type="dxa"/>
          <w:left w:w="28" w:type="dxa"/>
          <w:bottom w:w="28" w:type="dxa"/>
          <w:right w:w="28" w:type="dxa"/>
        </w:tblCellMar>
      </w:tblPr>
      <w:tblGrid>
        <w:gridCol w:w="5566"/>
        <w:gridCol w:w="146"/>
        <w:gridCol w:w="211"/>
        <w:gridCol w:w="841"/>
        <w:gridCol w:w="166"/>
        <w:gridCol w:w="146"/>
        <w:gridCol w:w="211"/>
        <w:gridCol w:w="736"/>
        <w:gridCol w:w="166"/>
        <w:gridCol w:w="146"/>
        <w:gridCol w:w="211"/>
        <w:gridCol w:w="841"/>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of $14.5 million in net cash used in operating activities for the six months ended June 30, 2026, compared to the same period in 2025, was primarily due to an increase of $28.6 million in net loss, offset by changes in operating assets and liabilities of $7.5 million, increases of $5.3 million in non-cash stock-based compensation expense and $1.3 million in non-cash net accretion on marketable securities.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of $155.3 million in net cash used in investing activities for the six months ended June 30, 2026, compared to the same period in 2025, was primarily due to an increase of $157.3 million in purchases of marketable securities and a $0.1 million increase in purchases of property and equipment, partially offset by a $2.1 million increase in maturities of marketable securities.</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of $159.7 million in net cash provided by financing activities for the six months ended June 30, 2026, compared to the same period in 2025, was primarily due to the $147.9 million in net proceeds from the sale of common stock under the 2025 Sales Agreement and an increase of $11.8 million in proceeds from issuances of common stock under benefit plans.</w:t>
      </w:r>
    </w:p>
    <w:p>
      <w:pPr>
        <w:pStyle w:val="TextBody"/>
        <w:bidi w:val="0"/>
        <w:spacing w:before="240" w:after="283"/>
        <w:jc w:val="left"/>
        <w:rPr>
          <w:rFonts w:ascii="Times New Roman" w:hAnsi="Times New Roman"/>
          <w:sz w:val="20"/>
        </w:rPr>
      </w:pPr>
      <w:r>
        <w:rPr>
          <w:rFonts w:ascii="Times New Roman" w:hAnsi="Times New Roman"/>
          <w:b/>
          <w:i/>
          <w:color w:val="000000"/>
          <w:sz w:val="20"/>
        </w:rPr>
        <w:t>Material Cash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material cash requirements consist of expected operating expenses to conduct our clinical trials and other research and development activities, personnel-related expenses and operating lease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to date have been to fund our research and development activities, including with respect to dabogratinib, TYRA-430, TYRA-200 and other research programs, business planning, establishing and maintaining our intellectual property portfolio, hiring personnel, raising capital, and providing general and administrative support for these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marketable securities as of June 30, 2026 will be sufficient to meet our anticipated operating expenses and capital expenditures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for current or future product candidates, including commercial scale manufacturing if any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current or future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patents and other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business grows, including additional executive officers and clinical development personnel, as well as retaining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or future product candidate is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associated with any products or technologies that we may in-license or acquire;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or issues with any of the above, including that the risk of each may be exacerbated by tariffs or trade policies, any future pandemics or epidemic diseases, potential geopolitical instability, war, terrorism, inflation or rising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disclosed below, there were no material changes outside the ordinary course of our business during the six months ended June 30, 2026 to the information regarding our contractual obligations that was disclosed in “Management’s Discussion and Analysis of Financial Condition and Results of Operations” included in the 2025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total future aggregate operating lease commitments were $7.4 million, with approximately $0.5 million due during 2026, and the remaining due in periods from 2027 through 2033.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six months ended June 30, 2026, as compared to the critical accounting policies and estimates disclosed in “Management’s Discussion and Analysis of Financial Condition and Results of Operations” included in the 2025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1 to our condensed financial statements included elsewhere in this Quarterly Report on Form 10-Q for recently issued accounting pronouncements that may potentially impact our financial position and results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Emerging Growth Company, Smaller Reporting Company and Non-Accelerated Filer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lose “emerging growth company” status as of December 31, 2026, the last day of the fiscal year following the fifth anniversary of the completion of our IPO. As such, after such date, we will no longer be permitted to rely on exemptions from certain disclosure requirements available to emerging growth companies. In addition, based on the market value of our common stock held by our non-affiliates as of June 30, 2026, we will no longer be a “smaller reporting company.” Accordingly, we will cease to be eligible to use the requirements for a smaller reporting company beginning with our Quarterly Report on Form 10-Q for the quarter ended March 31, 2027, and will thus be subject to additional disclosure and compliance requirements. Because we remain eligible to use the requirements for smaller reporting companies through December 31, 2026, we will continue to be a non-accelerated filer as of December 31, 2026 and will remain a “non-accelerated filer” through December 31, 2027.</w:t>
      </w:r>
    </w:p>
    <w:p>
      <w:pPr>
        <w:pStyle w:val="TextBody"/>
        <w:bidi w:val="0"/>
        <w:spacing w:before="240" w:after="283"/>
        <w:jc w:val="left"/>
        <w:rPr>
          <w:rFonts w:ascii="Times New Roman" w:hAnsi="Times New Roman"/>
          <w:b/>
          <w:color w:val="000000"/>
          <w:sz w:val="20"/>
        </w:rPr>
      </w:pPr>
      <w:bookmarkStart w:id="9" w:name="i_item3"/>
      <w:bookmarkEnd w:id="9"/>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2025 Annual Report.</w:t>
      </w:r>
    </w:p>
    <w:p>
      <w:pPr>
        <w:pStyle w:val="TextBody"/>
        <w:bidi w:val="0"/>
        <w:spacing w:before="240" w:after="283"/>
        <w:jc w:val="left"/>
        <w:rPr>
          <w:rFonts w:ascii="Times New Roman" w:hAnsi="Times New Roman"/>
          <w:b/>
          <w:color w:val="000000"/>
          <w:sz w:val="20"/>
        </w:rPr>
      </w:pPr>
      <w:bookmarkStart w:id="10" w:name="i_item4"/>
      <w:bookmarkEnd w:id="10"/>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(our principal executive officer and principal financial officer, respectively),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As required by SEC Rule 13a-15(b), we carried out an evaluation of our disclosure controls and procedures as of the end of the quarter covered by this report. Based on such evaluation, our chief executive officer and our chief financial officer concluded that, as of such date, our disclosure controls and procedures were effective at the reasonable assurance level.</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2" w:name="ii_item1"/>
      <w:bookmarkEnd w:id="12"/>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 </w:t>
      </w:r>
    </w:p>
    <w:p>
      <w:pPr>
        <w:pStyle w:val="TextBody"/>
        <w:bidi w:val="0"/>
        <w:spacing w:before="240" w:after="283"/>
        <w:jc w:val="left"/>
        <w:rPr>
          <w:rFonts w:ascii="Times New Roman" w:hAnsi="Times New Roman"/>
          <w:b/>
          <w:color w:val="000000"/>
          <w:sz w:val="20"/>
        </w:rPr>
      </w:pPr>
      <w:bookmarkStart w:id="13" w:name="ii_item1a"/>
      <w:bookmarkEnd w:id="1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disclosed in Item 1A of our 2025 Annual Report. </w:t>
      </w:r>
    </w:p>
    <w:p>
      <w:pPr>
        <w:pStyle w:val="TextBody"/>
        <w:bidi w:val="0"/>
        <w:spacing w:before="120" w:after="283"/>
        <w:jc w:val="left"/>
        <w:rPr>
          <w:rFonts w:ascii="Times New Roman" w:hAnsi="Times New Roman"/>
          <w:b/>
          <w:color w:val="000000"/>
          <w:sz w:val="20"/>
        </w:rPr>
      </w:pPr>
      <w:bookmarkStart w:id="14" w:name="ii_item2"/>
      <w:bookmarkEnd w:id="1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5" w:name="ii_item3"/>
      <w:bookmarkEnd w:id="15"/>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6" w:name="ii_item4"/>
      <w:bookmarkEnd w:id="16"/>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i_item5"/>
      <w:bookmarkEnd w:id="17"/>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240" w:after="283"/>
        <w:jc w:val="left"/>
        <w:rPr>
          <w:rFonts w:ascii="Times New Roman" w:hAnsi="Times New Roman"/>
          <w:sz w:val="20"/>
        </w:rPr>
      </w:pPr>
      <w:r>
        <w:rPr>
          <w:rFonts w:ascii="Times New Roman" w:hAnsi="Times New Roman"/>
          <w:b/>
          <w:i/>
          <w:color w:val="000000"/>
          <w:sz w:val="20"/>
        </w:rPr>
        <w:t>Rule 10b5-1 Trading Plans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June 30, 2026, our officers and directors took the following actions with respect to such trading arrangements:</w:t>
      </w:r>
    </w:p>
    <w:tbl>
      <w:tblPr>
        <w:tblW w:w="10205" w:type="dxa"/>
        <w:jc w:val="left"/>
        <w:tblInd w:w="0" w:type="dxa"/>
        <w:tblLayout w:type="fixed"/>
        <w:tblCellMar>
          <w:top w:w="28" w:type="dxa"/>
          <w:left w:w="28" w:type="dxa"/>
          <w:bottom w:w="28" w:type="dxa"/>
          <w:right w:w="28" w:type="dxa"/>
        </w:tblCellMar>
      </w:tblPr>
      <w:tblGrid>
        <w:gridCol w:w="2415"/>
        <w:gridCol w:w="146"/>
        <w:gridCol w:w="886"/>
        <w:gridCol w:w="146"/>
        <w:gridCol w:w="701"/>
        <w:gridCol w:w="146"/>
        <w:gridCol w:w="846"/>
        <w:gridCol w:w="146"/>
        <w:gridCol w:w="1239"/>
        <w:gridCol w:w="146"/>
        <w:gridCol w:w="1983"/>
        <w:gridCol w:w="146"/>
        <w:gridCol w:w="1259"/>
      </w:tblGrid>
      <w:tr>
        <w:trPr/>
        <w:tc>
          <w:tcPr>
            <w:tcW w:w="2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Authorized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Douglas Warner, M.D.,</w:t>
              <w:b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5/7/2026</w:t>
              <w:br/>
              <w:t>5/12/2026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b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w:t>
              <w:b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2/26/2027</w:t>
              <w:br/>
              <w:t>(2)</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Fuhrman,</w:t>
              <w:b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Julia Rueb,</w:t>
              <w:br/>
              <w:t>Vice President, Finance (principal accounting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2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Harris,</w:t>
              <w:b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2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Bhavesh Ashar,</w:t>
              <w:br/>
              <w:t>Chief Operating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Not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Represents the maximum number of shares that may be sold pursuant to the 10b5-1 arrangement. The number of shares sold is dependent on the satisfaction of certain conditions as set forth in the written plan and the satisfaction of applicable vesting conditions of equity awards.</w:t>
      </w:r>
    </w:p>
    <w:p>
      <w:pPr>
        <w:pStyle w:val="TextBody"/>
        <w:bidi w:val="0"/>
        <w:jc w:val="left"/>
        <w:rPr>
          <w:rFonts w:ascii="Times New Roman" w:hAnsi="Times New Roman"/>
          <w:color w:val="000000"/>
          <w:sz w:val="20"/>
        </w:rPr>
      </w:pPr>
      <w:r>
        <w:rPr>
          <w:rFonts w:ascii="Times New Roman" w:hAnsi="Times New Roman"/>
          <w:color w:val="000000"/>
          <w:sz w:val="20"/>
        </w:rPr>
        <w:t>(1) Refers to a sell-to-cover instruction letter intended to comply with the requirements of Rule 10b5-1(c) authorizing the pre-arranged sale of shares of our common stock to satisfy tax withholding obligations of the Company arising from the vesting of any restricted stock units (RSUs) and performance stock units (PSUs), and the related issuance of shares of common stock, issued pursuant to our 2021 Incentive Award Plan and any successor plan. The amount of shares to be sold to satisfy the Company’s tax withholding obligations under each instruction letter is dependent on future events which cannot be known at this time, including the future trading price of our common stock.</w:t>
      </w:r>
    </w:p>
    <w:p>
      <w:pPr>
        <w:pStyle w:val="TextBody"/>
        <w:bidi w:val="0"/>
        <w:jc w:val="left"/>
        <w:rPr>
          <w:rFonts w:ascii="Times New Roman" w:hAnsi="Times New Roman"/>
          <w:color w:val="000000"/>
          <w:sz w:val="20"/>
        </w:rPr>
      </w:pPr>
      <w:r>
        <w:rPr>
          <w:rFonts w:ascii="Times New Roman" w:hAnsi="Times New Roman"/>
          <w:color w:val="000000"/>
          <w:sz w:val="20"/>
        </w:rPr>
        <w:t>(2) The expiration date relating to each instruction letter is dependent on future events which cannot be known at this time, including the final vesting date of the applicable RSUs and PSUs and the officer or director’s termination of service.</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Amended At-the-Market Sales Agreement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August 4, 2026, we entered into an amendment to the 2025 Sales Agreement (the Sales Agreement Amendment) with the Sales Agent (the 2025 Sales Agreement, as amended by the Sales Agreement Amendment, the Amended Sales Agreement) increasing the maximum aggregate offering price for shares of our common stock that we may offer and sell in at-the-market offerings through the Sales Agent under the Amended Sales Agreement from $150.0 million to such number as would not, among other limitations, exceed the number or dollar amount of shares registered on an effective registration statement pursuant to which the offering is made and for which we have filed prior to commencing the offering a prospectus or prospectus supplement. Prior to executing the Sales Agreement Amendment, we had fully utilized the $150.0 million available for issuance under the 2025 Sales Agreement. The foregoing description of the Sales Agreement Amendment is not complete and is qualified in its entirety by reference to the Sales Agreement Amendment, a copy of which is filed as an exhibit to this Quarterly Report and is incorporated herein by reference. Any sales of common stock under the Amended Sales Agreement will be made pursuant to our previously filed shelf registration statement on Form S-3 (File No. 333-287086), which was declared effective on May 16, 2025, or any successor registration statement that we may file and becomes effective. We will file a prospectus supplement with the SEC in connection with the offer and sale of up to $250.0 million of shares of our common stock pursuant to the Amended Sales Agreement on August 4, 2026. Pursuant to the Amended Sales Agreement and, after giving effect to such prospectus supplement, we may offer and sell up to an aggregate offering price of $250.0 million of our common stock. A copy of the opinion of Latham &amp; Watkins LLP relating to the validity of the securities to be issued pursuant to the Amended Sales Agreement and such prospectus supplement is filed as Exhibit 5.1 to this Quarterly Report.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bookmarkStart w:id="18" w:name="ii_item6"/>
      <w:bookmarkEnd w:id="18"/>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023"/>
        <w:gridCol w:w="146"/>
        <w:gridCol w:w="5378"/>
        <w:gridCol w:w="146"/>
        <w:gridCol w:w="586"/>
        <w:gridCol w:w="146"/>
        <w:gridCol w:w="609"/>
        <w:gridCol w:w="146"/>
        <w:gridCol w:w="796"/>
        <w:gridCol w:w="146"/>
        <w:gridCol w:w="1083"/>
      </w:tblGrid>
      <w:tr>
        <w:trPr/>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102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10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dated May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effective as of October 26,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March 5, 2021,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Pre-Funded Warrant</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Exchange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5_1.htm">
              <w:r>
                <w:rPr>
                  <w:rStyle w:val="InternetLink"/>
                  <w:rFonts w:ascii="Times New Roman" w:hAnsi="Times New Roman"/>
                  <w:color w:val="0000FF"/>
                  <w:sz w:val="20"/>
                  <w:u w:val="single"/>
                </w:rPr>
                <w:t>Opinion of Latham &amp; Watkins LLP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10_1.htm">
              <w:r>
                <w:rPr>
                  <w:rStyle w:val="InternetLink"/>
                  <w:rFonts w:ascii="Times New Roman" w:hAnsi="Times New Roman"/>
                  <w:color w:val="0000FF"/>
                  <w:sz w:val="20"/>
                  <w:u w:val="single"/>
                </w:rPr>
                <w:t>Non-Employee Director Compensation Program, amended and restated effective May 28,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10_2.htm">
              <w:r>
                <w:rPr>
                  <w:rStyle w:val="InternetLink"/>
                  <w:rFonts w:ascii="Times New Roman" w:hAnsi="Times New Roman"/>
                  <w:color w:val="0000FF"/>
                  <w:sz w:val="20"/>
                  <w:u w:val="single"/>
                </w:rPr>
                <w:t>Form of Restricted Stock Unit Grant Notice and Restricted Stock Unit Agreement under the Tyra Biosciences, Inc. 2021 Incentive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10_3.htm">
              <w:r>
                <w:rPr>
                  <w:rStyle w:val="InternetLink"/>
                  <w:rFonts w:ascii="Times New Roman" w:hAnsi="Times New Roman"/>
                  <w:color w:val="0000FF"/>
                  <w:sz w:val="20"/>
                  <w:u w:val="single"/>
                </w:rPr>
                <w:t>Amendment No. 1 to Sales Agreement, dated August 4, 2026, between the Registrant and TD Securities (USA) LLC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1.htm">
              <w:r>
                <w:rPr>
                  <w:rStyle w:val="InternetLink"/>
                  <w:rFonts w:ascii="Times New Roman" w:hAnsi="Times New Roman"/>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1_2.htm">
              <w:r>
                <w:rPr>
                  <w:rStyle w:val="InternetLink"/>
                  <w:rFonts w:ascii="Times New Roman" w:hAnsi="Times New Roman"/>
                  <w:color w:val="0000FF"/>
                  <w:sz w:val="20"/>
                  <w:u w:val="single"/>
                </w:rPr>
                <w:t>Certification of Chief Financial Officer, as required by Rule 13a-14(a) or Rule 15d-14(a), as adopted pursuant to Section 302 of the Sarbanes-Oxley Act of 2002</w:t>
              </w:r>
            </w:hyperlink>
            <w:hyperlink w:anchor="tyra-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pPr>
            <w:hyperlink w:anchor="tyra-ex32_2.htm">
              <w:r>
                <w:rPr>
                  <w:rStyle w:val="InternetLink"/>
                  <w:rFonts w:ascii="Times New Roman" w:hAnsi="Times New Roman"/>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10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 of Section 18 of the Exchange Act or otherwise subject to the liability of that section, nor shall it be deemed incorporated by reference into any filing under the Securities Act or the Exchange Act.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1846"/>
        <w:gridCol w:w="146"/>
        <w:gridCol w:w="406"/>
        <w:gridCol w:w="418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0" w:name="tyra-ex5_1.htm"/>
      <w:bookmarkStart w:id="21" w:name="kstyraex5_1"/>
      <w:bookmarkEnd w:id="20"/>
      <w:bookmarkEnd w:id="21"/>
      <w:r>
        <w:rPr>
          <w:rFonts w:ascii="Times New Roman" w:hAnsi="Times New Roman"/>
          <w:b/>
          <w:color w:val="000000"/>
          <w:sz w:val="24"/>
        </w:rPr>
        <w:t>Exhibit 5.1</w:t>
      </w:r>
      <w:r>
        <w:br w:type="page"/>
      </w:r>
    </w:p>
    <w:p>
      <w:pPr>
        <w:pStyle w:val="TextBody"/>
        <w:bidi w:val="0"/>
        <w:jc w:val="right"/>
        <w:rPr/>
      </w:pPr>
      <w:r>
        <w:rPr/>
        <w:t> </w:t>
      </w:r>
    </w:p>
    <w:tbl>
      <w:tblPr>
        <w:tblW w:w="6506" w:type="dxa"/>
        <w:jc w:val="left"/>
        <w:tblInd w:w="0" w:type="dxa"/>
        <w:tblLayout w:type="fixed"/>
        <w:tblCellMar>
          <w:top w:w="28" w:type="dxa"/>
          <w:left w:w="28" w:type="dxa"/>
          <w:bottom w:w="28" w:type="dxa"/>
          <w:right w:w="28" w:type="dxa"/>
        </w:tblCellMar>
      </w:tblPr>
      <w:tblGrid>
        <w:gridCol w:w="3656"/>
        <w:gridCol w:w="1181"/>
        <w:gridCol w:w="1669"/>
      </w:tblGrid>
      <w:tr>
        <w:trPr/>
        <w:tc>
          <w:tcPr>
            <w:tcW w:w="365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365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2"/>
            <w:tcBorders/>
            <w:tcMar>
              <w:top w:w="0" w:type="dxa"/>
              <w:left w:w="0" w:type="dxa"/>
              <w:bottom w:w="0" w:type="dxa"/>
              <w:right w:w="0" w:type="dxa"/>
            </w:tcMar>
            <w:vAlign w:val="center"/>
          </w:tcPr>
          <w:p>
            <w:pPr>
              <w:pStyle w:val="TableContents"/>
              <w:bidi w:val="0"/>
              <w:jc w:val="left"/>
              <w:rPr>
                <w:rFonts w:ascii="Arial" w:hAnsi="Arial"/>
                <w:color w:val="000000"/>
                <w:sz w:val="14"/>
              </w:rPr>
            </w:pPr>
            <w:r>
              <w:rPr>
                <w:rFonts w:ascii="Arial" w:hAnsi="Arial"/>
                <w:color w:val="000000"/>
                <w:sz w:val="14"/>
              </w:rPr>
              <w:t>12670 High Bluff Drive</w:t>
            </w:r>
          </w:p>
          <w:p>
            <w:pPr>
              <w:pStyle w:val="TableContents"/>
              <w:bidi w:val="0"/>
              <w:jc w:val="left"/>
              <w:rPr>
                <w:rFonts w:ascii="Arial" w:hAnsi="Arial"/>
                <w:color w:val="000000"/>
                <w:sz w:val="14"/>
              </w:rPr>
            </w:pPr>
            <w:r>
              <w:rPr>
                <w:rFonts w:ascii="Arial" w:hAnsi="Arial"/>
                <w:color w:val="000000"/>
                <w:sz w:val="14"/>
              </w:rPr>
              <w:t>San Diego, California 92130</w:t>
            </w:r>
          </w:p>
          <w:p>
            <w:pPr>
              <w:pStyle w:val="TableContents"/>
              <w:bidi w:val="0"/>
              <w:jc w:val="left"/>
              <w:rPr>
                <w:rFonts w:ascii="Arial" w:hAnsi="Arial"/>
                <w:color w:val="000000"/>
                <w:sz w:val="14"/>
              </w:rPr>
            </w:pPr>
            <w:r>
              <w:rPr>
                <w:rFonts w:ascii="Arial" w:hAnsi="Arial"/>
                <w:color w:val="000000"/>
                <w:sz w:val="14"/>
              </w:rPr>
              <w:t>Tel: +1.858.523.5400 Fax: +1.858.523.5450</w:t>
            </w:r>
          </w:p>
          <w:p>
            <w:pPr>
              <w:pStyle w:val="TableContents"/>
              <w:bidi w:val="0"/>
              <w:jc w:val="left"/>
              <w:rPr>
                <w:rFonts w:ascii="Arial" w:hAnsi="Arial"/>
                <w:color w:val="000000"/>
                <w:sz w:val="14"/>
              </w:rPr>
            </w:pPr>
            <w:r>
              <w:rPr>
                <w:rFonts w:ascii="Arial" w:hAnsi="Arial"/>
                <w:color w:val="000000"/>
                <w:sz w:val="14"/>
              </w:rPr>
              <w:t>www.lw.com</w:t>
            </w:r>
          </w:p>
          <w:p>
            <w:pPr>
              <w:pStyle w:val="TableContents"/>
              <w:bidi w:val="0"/>
              <w:spacing w:before="120" w:after="283"/>
              <w:jc w:val="left"/>
              <w:rPr>
                <w:rFonts w:ascii="Arial" w:hAnsi="Arial"/>
                <w:color w:val="000000"/>
                <w:sz w:val="14"/>
              </w:rPr>
            </w:pPr>
            <w:r>
              <w:rPr>
                <w:rFonts w:ascii="Arial" w:hAnsi="Arial"/>
                <w:color w:val="000000"/>
                <w:sz w:val="14"/>
              </w:rPr>
              <w:t>FIRM / AFFILIATE OFFICES</w:t>
            </w:r>
          </w:p>
        </w:tc>
      </w:tr>
      <w:tr>
        <w:trPr/>
        <w:tc>
          <w:tcPr>
            <w:tcW w:w="3656" w:type="dxa"/>
            <w:vMerge w:val="restart"/>
            <w:tcBorders/>
            <w:tcMar>
              <w:top w:w="0" w:type="dxa"/>
              <w:left w:w="0" w:type="dxa"/>
              <w:bottom w:w="0" w:type="dxa"/>
              <w:right w:w="0" w:type="dxa"/>
            </w:tcMar>
            <w:vAlign w:val="center"/>
          </w:tcPr>
          <w:p>
            <w:pPr>
              <w:pStyle w:val="TableContents"/>
              <w:bidi w:val="0"/>
              <w:jc w:val="left"/>
              <w:rPr/>
            </w:pP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2257425" cy="152400"/>
                          </a:xfrm>
                          <a:prstGeom prst="rect">
                            <a:avLst/>
                          </a:prstGeom>
                        </pic:spPr>
                      </pic:pic>
                    </a:graphicData>
                  </a:graphic>
                </wp:inline>
              </w:drawing>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August 4, 2026</w:t>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Austin</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Milan</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Beijing</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Munich</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Boston</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New York</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Brussels</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Orange County</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Chicago</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Paris</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Dubai</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Riyadh</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Düsseldorf</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San Diego</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Frankfurt</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San Francisco</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Hamburg</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Seoul</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Hong Kong</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Silicon Valley</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Houston</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Singapore</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London</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Tel Aviv</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Los Angeles</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Tokyo</w:t>
            </w:r>
          </w:p>
        </w:tc>
      </w:tr>
      <w:tr>
        <w:trPr/>
        <w:tc>
          <w:tcPr>
            <w:tcW w:w="3656" w:type="dxa"/>
            <w:vMerge w:val="continue"/>
            <w:tcBorders/>
            <w:tcMar>
              <w:top w:w="0" w:type="dxa"/>
              <w:left w:w="0" w:type="dxa"/>
              <w:bottom w:w="0" w:type="dxa"/>
              <w:right w:w="0" w:type="dxa"/>
            </w:tcMar>
            <w:vAlign w:val="center"/>
          </w:tcPr>
          <w:p>
            <w:pPr>
              <w:pStyle w:val="Normal"/>
              <w:bidi w:val="0"/>
              <w:jc w:val="left"/>
              <w:rPr/>
            </w:pPr>
            <w:r>
              <w:rPr/>
            </w:r>
          </w:p>
        </w:tc>
        <w:tc>
          <w:tcPr>
            <w:tcW w:w="1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Madrid</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Washington, D.C.</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Tyra Biosciences, Inc.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2656 State Street</w:t>
      </w:r>
    </w:p>
    <w:p>
      <w:pPr>
        <w:pStyle w:val="TextBody"/>
        <w:bidi w:val="0"/>
        <w:jc w:val="left"/>
        <w:rPr>
          <w:rFonts w:ascii="Times New Roman" w:hAnsi="Times New Roman"/>
          <w:color w:val="000000"/>
          <w:sz w:val="24"/>
        </w:rPr>
      </w:pPr>
      <w:r>
        <w:rPr>
          <w:rFonts w:ascii="Times New Roman" w:hAnsi="Times New Roman"/>
          <w:color w:val="000000"/>
          <w:sz w:val="24"/>
        </w:rPr>
        <w:t>Carlsbad, CA 92008</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1"/>
        <w:gridCol w:w="9814"/>
      </w:tblGrid>
      <w:tr>
        <w:trPr/>
        <w:tc>
          <w:tcPr>
            <w:tcW w:w="391" w:type="dxa"/>
            <w:tcBorders/>
            <w:vAlign w:val="center"/>
          </w:tcPr>
          <w:p>
            <w:pPr>
              <w:pStyle w:val="TableContents"/>
              <w:bidi w:val="0"/>
              <w:spacing w:before="0" w:after="283"/>
              <w:jc w:val="left"/>
              <w:rPr>
                <w:sz w:val="4"/>
                <w:szCs w:val="4"/>
              </w:rPr>
            </w:pPr>
            <w:r>
              <w:rPr>
                <w:sz w:val="4"/>
                <w:szCs w:val="4"/>
              </w:rPr>
            </w:r>
          </w:p>
        </w:tc>
        <w:tc>
          <w:tcPr>
            <w:tcW w:w="9814"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t>
            </w:r>
          </w:p>
        </w:tc>
        <w:tc>
          <w:tcPr>
            <w:tcW w:w="9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At-The-Market Issuance of Common Stock, par value $0.0001 per share, having an aggregate offering price of up to $250,000,000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To the addressee set forth above:</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We have acted as special counsel to Tyra Biosciences,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in connection with</w:t>
      </w:r>
      <w:r>
        <w:rPr>
          <w:rFonts w:ascii="Times New Roman" w:hAnsi="Times New Roman"/>
          <w:color w:val="000000"/>
          <w:sz w:val="20"/>
        </w:rPr>
        <w:t xml:space="preserve"> </w:t>
      </w:r>
      <w:r>
        <w:rPr>
          <w:rFonts w:ascii="Times New Roman" w:hAnsi="Times New Roman"/>
          <w:color w:val="000000"/>
          <w:sz w:val="24"/>
        </w:rPr>
        <w:t>the sale through TD Securities (USA) LLC (“</w:t>
      </w:r>
      <w:r>
        <w:rPr>
          <w:rFonts w:ascii="Times New Roman" w:hAnsi="Times New Roman"/>
          <w:b/>
          <w:i/>
          <w:color w:val="000000"/>
          <w:sz w:val="24"/>
        </w:rPr>
        <w:t>TD Securities</w:t>
      </w:r>
      <w:r>
        <w:rPr>
          <w:rFonts w:ascii="Times New Roman" w:hAnsi="Times New Roman"/>
          <w:color w:val="000000"/>
          <w:sz w:val="20"/>
        </w:rPr>
        <w:t>”</w:t>
      </w:r>
      <w:r>
        <w:rPr>
          <w:rFonts w:ascii="Times New Roman" w:hAnsi="Times New Roman"/>
          <w:color w:val="000000"/>
          <w:sz w:val="24"/>
        </w:rPr>
        <w:t>) as the sales agent from time to time by the Company of shares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of common stock of the Company, par value $0.0001 per share (the “</w:t>
      </w:r>
      <w:r>
        <w:rPr>
          <w:rFonts w:ascii="Times New Roman" w:hAnsi="Times New Roman"/>
          <w:b/>
          <w:i/>
          <w:color w:val="000000"/>
          <w:sz w:val="24"/>
        </w:rPr>
        <w:t>Common Stock</w:t>
      </w:r>
      <w:r>
        <w:rPr>
          <w:rFonts w:ascii="Times New Roman" w:hAnsi="Times New Roman"/>
          <w:color w:val="000000"/>
          <w:sz w:val="20"/>
        </w:rPr>
        <w:t>”</w:t>
      </w:r>
      <w:r>
        <w:rPr>
          <w:rFonts w:ascii="Times New Roman" w:hAnsi="Times New Roman"/>
          <w:color w:val="000000"/>
          <w:sz w:val="24"/>
        </w:rPr>
        <w:t>), having an aggregate offering price of up to $250,000,000, to be issued pursuant to a registration statement on Form S-3 filed by the Company with the Securities and Exchange Commission (the “</w:t>
      </w:r>
      <w:r>
        <w:rPr>
          <w:rFonts w:ascii="Times New Roman" w:hAnsi="Times New Roman"/>
          <w:b/>
          <w:i/>
          <w:color w:val="000000"/>
          <w:sz w:val="24"/>
        </w:rPr>
        <w:t>Commission</w:t>
      </w:r>
      <w:r>
        <w:rPr>
          <w:rFonts w:ascii="Times New Roman" w:hAnsi="Times New Roman"/>
          <w:color w:val="000000"/>
          <w:sz w:val="20"/>
        </w:rPr>
        <w:t>”</w:t>
      </w:r>
      <w:r>
        <w:rPr>
          <w:rFonts w:ascii="Times New Roman" w:hAnsi="Times New Roman"/>
          <w:color w:val="000000"/>
          <w:sz w:val="24"/>
        </w:rPr>
        <w:t>) on May 8, 2025 (the “</w:t>
      </w:r>
      <w:r>
        <w:rPr>
          <w:rFonts w:ascii="Times New Roman" w:hAnsi="Times New Roman"/>
          <w:b/>
          <w:i/>
          <w:color w:val="000000"/>
          <w:sz w:val="24"/>
        </w:rPr>
        <w:t>Registration Statement</w:t>
      </w:r>
      <w:r>
        <w:rPr>
          <w:rFonts w:ascii="Times New Roman" w:hAnsi="Times New Roman"/>
          <w:color w:val="000000"/>
          <w:sz w:val="20"/>
        </w:rPr>
        <w:t>”</w:t>
      </w:r>
      <w:r>
        <w:rPr>
          <w:rFonts w:ascii="Times New Roman" w:hAnsi="Times New Roman"/>
          <w:color w:val="000000"/>
          <w:sz w:val="24"/>
        </w:rPr>
        <w:t>), the base prospectus included in the Registration Statement (the “</w:t>
      </w:r>
      <w:r>
        <w:rPr>
          <w:rFonts w:ascii="Times New Roman" w:hAnsi="Times New Roman"/>
          <w:b/>
          <w:i/>
          <w:color w:val="000000"/>
          <w:sz w:val="24"/>
        </w:rPr>
        <w:t>Base Prospectus</w:t>
      </w:r>
      <w:r>
        <w:rPr>
          <w:rFonts w:ascii="Times New Roman" w:hAnsi="Times New Roman"/>
          <w:color w:val="000000"/>
          <w:sz w:val="20"/>
        </w:rPr>
        <w:t>”</w:t>
      </w:r>
      <w:r>
        <w:rPr>
          <w:rFonts w:ascii="Times New Roman" w:hAnsi="Times New Roman"/>
          <w:color w:val="000000"/>
          <w:sz w:val="24"/>
        </w:rPr>
        <w:t>) and the related sales agreement prospectus included in the Registration Statement (the “</w:t>
      </w:r>
      <w:r>
        <w:rPr>
          <w:rFonts w:ascii="Times New Roman" w:hAnsi="Times New Roman"/>
          <w:b/>
          <w:i/>
          <w:color w:val="000000"/>
          <w:sz w:val="24"/>
        </w:rPr>
        <w:t>ATM Prospectus</w:t>
      </w:r>
      <w:r>
        <w:rPr>
          <w:rFonts w:ascii="Times New Roman" w:hAnsi="Times New Roman"/>
          <w:color w:val="000000"/>
          <w:sz w:val="20"/>
        </w:rPr>
        <w:t>”</w:t>
      </w:r>
      <w:r>
        <w:rPr>
          <w:rFonts w:ascii="Times New Roman" w:hAnsi="Times New Roman"/>
          <w:color w:val="000000"/>
          <w:sz w:val="24"/>
        </w:rPr>
        <w:t>), as updated, amended and supplemented by the prospectus supplement dated August 4, 2026 (together with the Base Prospectus and the ATM Prospectus, the “</w:t>
      </w:r>
      <w:r>
        <w:rPr>
          <w:rFonts w:ascii="Times New Roman" w:hAnsi="Times New Roman"/>
          <w:b/>
          <w:i/>
          <w:color w:val="000000"/>
          <w:sz w:val="24"/>
        </w:rPr>
        <w:t>Prospectus</w:t>
      </w:r>
      <w:r>
        <w:rPr>
          <w:rFonts w:ascii="Times New Roman" w:hAnsi="Times New Roman"/>
          <w:color w:val="000000"/>
          <w:sz w:val="20"/>
        </w:rPr>
        <w:t>”</w:t>
      </w:r>
      <w:r>
        <w:rPr>
          <w:rFonts w:ascii="Times New Roman" w:hAnsi="Times New Roman"/>
          <w:color w:val="000000"/>
          <w:sz w:val="24"/>
        </w:rPr>
        <w:t>), and that certain Sales Agreement, dated as of May 8, 2025, as amended as of August 4, 2026, by and between the Company and TD Securities (the “</w:t>
      </w:r>
      <w:r>
        <w:rPr>
          <w:rFonts w:ascii="Times New Roman" w:hAnsi="Times New Roman"/>
          <w:b/>
          <w:i/>
          <w:color w:val="000000"/>
          <w:sz w:val="24"/>
        </w:rPr>
        <w:t>Sales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This opinion is being furnished in connection with the requirements of Item 601(b)(5) of Regulation S-K under the Act, and no opinion is expressed herein as to any matter pertaining to</w:t>
      </w:r>
      <w:r>
        <w:rPr>
          <w:rFonts w:ascii="Times New Roman" w:hAnsi="Times New Roman"/>
          <w:color w:val="000000"/>
          <w:sz w:val="20"/>
        </w:rPr>
        <w:t xml:space="preserve"> </w:t>
      </w:r>
    </w:p>
    <w:p>
      <w:pPr>
        <w:pStyle w:val="TextBody"/>
        <w:bidi w:val="0"/>
        <w:spacing w:before="180" w:after="12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4"/>
        </w:rPr>
      </w:pPr>
      <w:r>
        <w:rPr>
          <w:rFonts w:ascii="Arial" w:hAnsi="Arial"/>
          <w:b/>
          <w:color w:val="000000"/>
          <w:sz w:val="14"/>
        </w:rPr>
        <w:t>August 4, 2026</w:t>
      </w:r>
    </w:p>
    <w:p>
      <w:pPr>
        <w:pStyle w:val="TextBody"/>
        <w:bidi w:val="0"/>
        <w:jc w:val="left"/>
        <w:rPr>
          <w:rFonts w:ascii="Arial" w:hAnsi="Arial"/>
          <w:b/>
          <w:color w:val="000000"/>
          <w:sz w:val="14"/>
        </w:rPr>
      </w:pPr>
      <w:r>
        <w:rPr>
          <w:rFonts w:ascii="Arial" w:hAnsi="Arial"/>
          <w:b/>
          <w:color w:val="000000"/>
          <w:sz w:val="14"/>
        </w:rPr>
        <w:t>Page 2</w:t>
      </w:r>
    </w:p>
    <w:p>
      <w:pPr>
        <w:pStyle w:val="TextBody"/>
        <w:bidi w:val="0"/>
        <w:jc w:val="left"/>
        <w:rPr/>
      </w:pPr>
      <w:r>
        <w:rPr/>
        <w:t> </w:t>
      </w:r>
    </w:p>
    <w:p>
      <w:pPr>
        <w:pStyle w:val="TextBody"/>
        <w:bidi w:val="0"/>
        <w:jc w:val="left"/>
        <w:rPr/>
      </w:pPr>
      <w:r>
        <w:rPr/>
        <w:drawing>
          <wp:inline distT="0" distB="0" distL="0" distR="0">
            <wp:extent cx="153352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533525" cy="104775"/>
                    </a:xfrm>
                    <a:prstGeom prst="rect">
                      <a:avLst/>
                    </a:prstGeom>
                  </pic:spPr>
                </pic:pic>
              </a:graphicData>
            </a:graphic>
          </wp:inline>
        </w:drawing>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contents of the Registration Statement or the Prospectus, other than as expressly stated herein with respect to the issue of the Shares.</w:t>
      </w:r>
    </w:p>
    <w:p>
      <w:pPr>
        <w:pStyle w:val="TextBody"/>
        <w:bidi w:val="0"/>
        <w:spacing w:before="240" w:after="283"/>
        <w:ind w:left="0" w:right="0" w:firstLine="720"/>
        <w:jc w:val="left"/>
        <w:rPr>
          <w:rFonts w:ascii="Times New Roman" w:hAnsi="Times New Roman"/>
          <w:sz w:val="20"/>
        </w:rPr>
      </w:pPr>
      <w:r>
        <w:rPr>
          <w:rFonts w:ascii="Times New Roman" w:hAnsi="Times New Roman"/>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color w:val="000000"/>
          <w:sz w:val="24"/>
        </w:rPr>
        <w:t>DGCL</w:t>
      </w:r>
      <w:r>
        <w:rPr>
          <w:rFonts w:ascii="Times New Roman" w:hAnsi="Times New Roman"/>
          <w:color w:val="000000"/>
          <w:sz w:val="20"/>
        </w:rPr>
        <w:t>”</w:t>
      </w:r>
      <w:r>
        <w:rPr>
          <w:rFonts w:ascii="Times New Roman" w:hAnsi="Times New Roman"/>
          <w:color w:val="000000"/>
          <w:sz w:val="24"/>
        </w:rPr>
        <w:t>), and we express no opinion with respect to any other laws.</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Sales Agreement, the issue and sale of the Shares will have been duly authorized by all necessary corporate action of the Company, and the Shares will be validly issued, fully paid and nonassessable. In rendering the foregoing opinion, we have assumed that (i) the Company will comply with all applicable notice requirements regarding uncertificated shares provided in the DGCL and (ii) upon the issue of any of the Shares, the total number of shares of Common Stock issued and outstanding will not exceed the total number of shares of Common Stock that the Company is then authorized to issue under its Amended and Restated Certificate of Incorporation, as amended.</w:t>
      </w:r>
    </w:p>
    <w:p>
      <w:pPr>
        <w:pStyle w:val="TextBody"/>
        <w:bidi w:val="0"/>
        <w:spacing w:before="240" w:after="283"/>
        <w:ind w:left="0" w:right="0" w:firstLine="720"/>
        <w:jc w:val="left"/>
        <w:rPr>
          <w:rFonts w:ascii="Times New Roman" w:hAnsi="Times New Roman"/>
          <w:color w:val="000000"/>
          <w:sz w:val="24"/>
        </w:rPr>
      </w:pPr>
      <w:r>
        <w:rPr>
          <w:rFonts w:ascii="Times New Roman" w:hAnsi="Times New Roman"/>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Company’s Quarterly Report on Form 10-Q for the quarter ended June 30,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240" w:after="283"/>
        <w:ind w:left="4320" w:right="0" w:hanging="0"/>
        <w:jc w:val="left"/>
        <w:rPr>
          <w:rFonts w:ascii="Times New Roman" w:hAnsi="Times New Roman"/>
          <w:sz w:val="20"/>
        </w:rPr>
      </w:pPr>
      <w:r>
        <w:rPr>
          <w:rFonts w:ascii="Times New Roman" w:hAnsi="Times New Roman"/>
          <w:color w:val="000000"/>
          <w:sz w:val="24"/>
        </w:rPr>
        <w:t>Sincerely,</w:t>
      </w:r>
      <w:r>
        <w:rPr>
          <w:rFonts w:ascii="Times New Roman" w:hAnsi="Times New Roman"/>
          <w:color w:val="000000"/>
          <w:sz w:val="20"/>
        </w:rPr>
        <w:t xml:space="preserve"> </w:t>
      </w:r>
    </w:p>
    <w:p>
      <w:pPr>
        <w:pStyle w:val="TextBody"/>
        <w:bidi w:val="0"/>
        <w:ind w:left="4320" w:right="0" w:hanging="0"/>
        <w:jc w:val="left"/>
        <w:rPr/>
      </w:pPr>
      <w:r>
        <w:rPr/>
        <w:t> </w:t>
      </w:r>
    </w:p>
    <w:p>
      <w:pPr>
        <w:pStyle w:val="TextBody"/>
        <w:bidi w:val="0"/>
        <w:ind w:left="4320" w:right="0" w:hanging="0"/>
        <w:jc w:val="left"/>
        <w:rPr>
          <w:rFonts w:ascii="Times New Roman" w:hAnsi="Times New Roman"/>
          <w:color w:val="000000"/>
          <w:sz w:val="24"/>
        </w:rPr>
      </w:pPr>
      <w:r>
        <w:rPr>
          <w:rFonts w:ascii="Times New Roman" w:hAnsi="Times New Roman"/>
          <w:color w:val="000000"/>
          <w:sz w:val="24"/>
        </w:rPr>
        <w:t>/s/ Latham &amp; Watkins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2" w:name="tyra-ex10_1.htm"/>
      <w:bookmarkStart w:id="23" w:name="kstyraex10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jc w:val="center"/>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Tyra Biosciences,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Non-Employee Director Compensation Program</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(Amended and Restated Effective May 28, 2026)</w:t>
      </w:r>
    </w:p>
    <w:p>
      <w:pPr>
        <w:pStyle w:val="TextBody"/>
        <w:bidi w:val="0"/>
        <w:spacing w:before="240" w:after="240"/>
        <w:jc w:val="both"/>
        <w:rPr>
          <w:rFonts w:ascii="Times New Roman" w:hAnsi="Times New Roman"/>
          <w:sz w:val="20"/>
        </w:rPr>
      </w:pPr>
      <w:r>
        <w:rPr>
          <w:rFonts w:ascii="Times New Roman" w:hAnsi="Times New Roman"/>
          <w:color w:val="000000"/>
          <w:sz w:val="20"/>
        </w:rPr>
        <w:t>Non-employee members of the board of directors (the “</w:t>
      </w:r>
      <w:r>
        <w:rPr>
          <w:rFonts w:ascii="Times New Roman" w:hAnsi="Times New Roman"/>
          <w:b/>
          <w:i/>
          <w:color w:val="000000"/>
          <w:sz w:val="20"/>
        </w:rPr>
        <w:t>Board</w:t>
      </w:r>
      <w:r>
        <w:rPr>
          <w:rFonts w:ascii="Times New Roman" w:hAnsi="Times New Roman"/>
          <w:color w:val="000000"/>
          <w:sz w:val="20"/>
        </w:rPr>
        <w:t>”) of Tyra Biosciences, Inc. (the “</w:t>
      </w:r>
      <w:r>
        <w:rPr>
          <w:rFonts w:ascii="Times New Roman" w:hAnsi="Times New Roman"/>
          <w:b/>
          <w:i/>
          <w:color w:val="000000"/>
          <w:sz w:val="20"/>
        </w:rPr>
        <w:t>Company</w:t>
      </w:r>
      <w:r>
        <w:rPr>
          <w:rFonts w:ascii="Times New Roman" w:hAnsi="Times New Roman"/>
          <w:color w:val="000000"/>
          <w:sz w:val="20"/>
        </w:rPr>
        <w:t>”) shall receive cash and equity compensation as set forth in this Non-Employee Director Compensation Program (this “</w:t>
      </w:r>
      <w:r>
        <w:rPr>
          <w:rFonts w:ascii="Times New Roman" w:hAnsi="Times New Roman"/>
          <w:b/>
          <w:i/>
          <w:color w:val="000000"/>
          <w:sz w:val="20"/>
        </w:rPr>
        <w:t>Program</w:t>
      </w:r>
      <w:r>
        <w:rPr>
          <w:rFonts w:ascii="Times New Roman" w:hAnsi="Times New Roman"/>
          <w:color w:val="000000"/>
          <w:sz w:val="20"/>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color w:val="000000"/>
          <w:sz w:val="20"/>
        </w:rPr>
        <w:t>Non-Employee Director</w:t>
      </w:r>
      <w:r>
        <w:rPr>
          <w:rFonts w:ascii="Times New Roman" w:hAnsi="Times New Roman"/>
          <w:color w:val="000000"/>
          <w:sz w:val="20"/>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amended and restated Program shall become effective as of the date set forth above (the “</w:t>
      </w:r>
      <w:r>
        <w:rPr>
          <w:rFonts w:ascii="Times New Roman" w:hAnsi="Times New Roman"/>
          <w:b/>
          <w:i/>
          <w:color w:val="000000"/>
          <w:sz w:val="20"/>
        </w:rPr>
        <w:t>Effective Date</w:t>
      </w:r>
      <w:r>
        <w:rPr>
          <w:rFonts w:ascii="Times New Roman" w:hAnsi="Times New Roman"/>
          <w:color w:val="000000"/>
          <w:sz w:val="20"/>
        </w:rPr>
        <w:t xml:space="preserve">”). </w:t>
      </w:r>
    </w:p>
    <w:p>
      <w:pPr>
        <w:pStyle w:val="TextBody"/>
        <w:bidi w:val="0"/>
        <w:spacing w:before="0" w:after="240"/>
        <w:ind w:left="0" w:right="720" w:hanging="0"/>
        <w:jc w:val="both"/>
        <w:rPr>
          <w:rFonts w:ascii="Times New Roman" w:hAnsi="Times New Roman"/>
          <w:b/>
          <w:smallCaps/>
          <w:color w:val="000000"/>
          <w:sz w:val="20"/>
        </w:rPr>
      </w:pPr>
      <w:r>
        <w:rPr>
          <w:rFonts w:ascii="Times New Roman" w:hAnsi="Times New Roman"/>
          <w:b/>
          <w:smallCaps/>
          <w:color w:val="000000"/>
          <w:sz w:val="20"/>
        </w:rPr>
        <w:t>Cash Compensation</w:t>
      </w:r>
    </w:p>
    <w:p>
      <w:pPr>
        <w:pStyle w:val="TextBody"/>
        <w:bidi w:val="0"/>
        <w:spacing w:before="0" w:after="240"/>
        <w:jc w:val="both"/>
        <w:rPr>
          <w:rFonts w:ascii="Times New Roman" w:hAnsi="Times New Roman"/>
          <w:sz w:val="20"/>
        </w:rPr>
      </w:pPr>
      <w:r>
        <w:rPr>
          <w:rFonts w:ascii="Times New Roman" w:hAnsi="Times New Roman"/>
          <w:color w:val="000000"/>
          <w:sz w:val="20"/>
        </w:rPr>
        <w:t>The schedule of annual retainers (the “</w:t>
      </w:r>
      <w:r>
        <w:rPr>
          <w:rFonts w:ascii="Times New Roman" w:hAnsi="Times New Roman"/>
          <w:b/>
          <w:i/>
          <w:color w:val="000000"/>
          <w:sz w:val="20"/>
        </w:rPr>
        <w:t>Annual Retainers</w:t>
      </w:r>
      <w:r>
        <w:rPr>
          <w:rFonts w:ascii="Times New Roman" w:hAnsi="Times New Roman"/>
          <w:color w:val="000000"/>
          <w:sz w:val="20"/>
        </w:rPr>
        <w:t>”) for the Non-Employee Directors is as follows:</w:t>
      </w:r>
    </w:p>
    <w:tbl>
      <w:tblPr>
        <w:tblW w:w="8447" w:type="dxa"/>
        <w:jc w:val="left"/>
        <w:tblInd w:w="0" w:type="dxa"/>
        <w:tblLayout w:type="fixed"/>
        <w:tblCellMar>
          <w:top w:w="28" w:type="dxa"/>
          <w:left w:w="28" w:type="dxa"/>
          <w:bottom w:w="28" w:type="dxa"/>
          <w:right w:w="28" w:type="dxa"/>
        </w:tblCellMar>
      </w:tblPr>
      <w:tblGrid>
        <w:gridCol w:w="6901"/>
        <w:gridCol w:w="1546"/>
      </w:tblGrid>
      <w:tr>
        <w:trPr/>
        <w:tc>
          <w:tcPr>
            <w:tcW w:w="690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690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40"/>
              <w:ind w:left="0" w:right="720" w:hanging="0"/>
              <w:jc w:val="center"/>
              <w:rPr>
                <w:rFonts w:ascii="Times New Roman" w:hAnsi="Times New Roman"/>
                <w:b/>
                <w:color w:val="000000"/>
                <w:sz w:val="20"/>
                <w:u w:val="single"/>
              </w:rPr>
            </w:pPr>
            <w:r>
              <w:rPr>
                <w:rFonts w:ascii="Times New Roman" w:hAnsi="Times New Roman"/>
                <w:b/>
                <w:color w:val="000000"/>
                <w:sz w:val="20"/>
                <w:u w:val="single"/>
              </w:rPr>
              <w:t>Position</w:t>
            </w:r>
          </w:p>
        </w:tc>
        <w:tc>
          <w:tcPr>
            <w:tcW w:w="1546"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0" w:after="240"/>
              <w:ind w:left="0" w:right="720" w:hanging="0"/>
              <w:jc w:val="center"/>
              <w:rPr>
                <w:rFonts w:ascii="Times New Roman" w:hAnsi="Times New Roman"/>
                <w:b/>
                <w:color w:val="000000"/>
                <w:sz w:val="20"/>
                <w:u w:val="single"/>
              </w:rPr>
            </w:pPr>
            <w:r>
              <w:rPr>
                <w:rFonts w:ascii="Times New Roman" w:hAnsi="Times New Roman"/>
                <w:b/>
                <w:color w:val="000000"/>
                <w:sz w:val="20"/>
                <w:u w:val="single"/>
              </w:rPr>
              <w:t>Amount</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Base Board Retainer</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$40,000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Chair of the Board</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$35,000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Chair of Audit Committee</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$20,000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Chair of Compensation Committee</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720" w:hanging="0"/>
              <w:jc w:val="both"/>
              <w:rPr>
                <w:rFonts w:ascii="Times New Roman" w:hAnsi="Times New Roman"/>
                <w:color w:val="000000"/>
                <w:sz w:val="20"/>
              </w:rPr>
            </w:pPr>
            <w:r>
              <w:rPr>
                <w:rFonts w:ascii="Times New Roman" w:hAnsi="Times New Roman"/>
                <w:color w:val="000000"/>
                <w:sz w:val="20"/>
              </w:rPr>
              <w:t>$15,000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left"/>
              <w:rPr>
                <w:rFonts w:ascii="Times New Roman" w:hAnsi="Times New Roman"/>
                <w:color w:val="000000"/>
                <w:sz w:val="20"/>
              </w:rPr>
            </w:pPr>
            <w:r>
              <w:rPr>
                <w:rFonts w:ascii="Times New Roman" w:hAnsi="Times New Roman"/>
                <w:color w:val="000000"/>
                <w:sz w:val="20"/>
              </w:rPr>
              <w:t>Chair of Nominating and Corporate Governance Committee</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left"/>
              <w:rPr>
                <w:rFonts w:ascii="Times New Roman" w:hAnsi="Times New Roman"/>
                <w:color w:val="000000"/>
                <w:sz w:val="20"/>
              </w:rPr>
            </w:pPr>
            <w:r>
              <w:rPr>
                <w:rFonts w:ascii="Times New Roman" w:hAnsi="Times New Roman"/>
                <w:color w:val="000000"/>
                <w:sz w:val="20"/>
              </w:rPr>
              <w:t xml:space="preserve">Chair of Science and Technology Committee </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left"/>
              <w:rPr>
                <w:rFonts w:ascii="Times New Roman" w:hAnsi="Times New Roman"/>
                <w:color w:val="000000"/>
                <w:sz w:val="20"/>
              </w:rPr>
            </w:pPr>
            <w:r>
              <w:rPr>
                <w:rFonts w:ascii="Times New Roman" w:hAnsi="Times New Roman"/>
                <w:color w:val="000000"/>
                <w:sz w:val="20"/>
              </w:rPr>
              <w:t>Member of Audit Committee (non-Chair)</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left"/>
              <w:rPr>
                <w:rFonts w:ascii="Times New Roman" w:hAnsi="Times New Roman"/>
                <w:color w:val="000000"/>
                <w:sz w:val="20"/>
              </w:rPr>
            </w:pPr>
            <w:r>
              <w:rPr>
                <w:rFonts w:ascii="Times New Roman" w:hAnsi="Times New Roman"/>
                <w:color w:val="000000"/>
                <w:sz w:val="20"/>
              </w:rPr>
              <w:t>Member of Compensation Committee (non-Chair)</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left"/>
              <w:rPr>
                <w:rFonts w:ascii="Times New Roman" w:hAnsi="Times New Roman"/>
                <w:color w:val="000000"/>
                <w:sz w:val="20"/>
              </w:rPr>
            </w:pPr>
            <w:r>
              <w:rPr>
                <w:rFonts w:ascii="Times New Roman" w:hAnsi="Times New Roman"/>
                <w:color w:val="000000"/>
                <w:sz w:val="20"/>
              </w:rPr>
              <w:t>Member of Nominating and Corporate Governance Committee (non-Chair)</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$5,000</w:t>
            </w:r>
          </w:p>
        </w:tc>
      </w:tr>
      <w:tr>
        <w:trPr/>
        <w:tc>
          <w:tcPr>
            <w:tcW w:w="69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720" w:hanging="0"/>
              <w:jc w:val="left"/>
              <w:rPr>
                <w:rFonts w:ascii="Times New Roman" w:hAnsi="Times New Roman"/>
                <w:color w:val="000000"/>
                <w:sz w:val="20"/>
              </w:rPr>
            </w:pPr>
            <w:r>
              <w:rPr>
                <w:rFonts w:ascii="Times New Roman" w:hAnsi="Times New Roman"/>
                <w:color w:val="000000"/>
                <w:sz w:val="20"/>
              </w:rPr>
              <w:t>Member of Science and Technology Committee (non-Chair)</w:t>
            </w:r>
          </w:p>
        </w:tc>
        <w:tc>
          <w:tcPr>
            <w:tcW w:w="15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$7,500</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In addition, the Annual Retainers will be prorated for the first calendar quarter in which the Effective Date occurs, which proration will be based on the number of days of the calendar quarter remaining in such quarter after the Effective Date. The Board may adopt a program that allows Non-Employee Directors to defer Annual Retainers.</w:t>
      </w:r>
    </w:p>
    <w:p>
      <w:pPr>
        <w:pStyle w:val="TextBody"/>
        <w:bidi w:val="0"/>
        <w:spacing w:before="0" w:after="240"/>
        <w:jc w:val="both"/>
        <w:rPr>
          <w:rFonts w:ascii="Times New Roman" w:hAnsi="Times New Roman"/>
          <w:sz w:val="20"/>
        </w:rPr>
      </w:pPr>
      <w:r>
        <w:rPr>
          <w:rFonts w:ascii="Times New Roman" w:hAnsi="Times New Roman"/>
          <w:b/>
          <w:smallCaps/>
          <w:color w:val="000000"/>
          <w:sz w:val="20"/>
        </w:rPr>
        <w:t>Equity Compensation</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Each Non-Employee Director shall be granted the equity awards described below, which equity awards shall be granted under and subject to the terms and provisions of the Company’s 2021 Incentive Award Plan or any other applicable Company equity incentive plan then-maintained by the Company (the “</w:t>
      </w:r>
      <w:r>
        <w:rPr>
          <w:rFonts w:ascii="Times New Roman" w:hAnsi="Times New Roman"/>
          <w:b/>
          <w:i/>
          <w:color w:val="000000"/>
          <w:sz w:val="20"/>
        </w:rPr>
        <w:t>Equity Plan</w:t>
      </w:r>
      <w:r>
        <w:rPr>
          <w:rFonts w:ascii="Times New Roman" w:hAnsi="Times New Roman"/>
          <w:color w:val="000000"/>
          <w:sz w:val="20"/>
        </w:rPr>
        <w:t>”),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Initial Awards</w:t>
      </w:r>
      <w:r>
        <w:rPr>
          <w:rFonts w:ascii="Times New Roman" w:hAnsi="Times New Roman"/>
          <w:color w:val="000000"/>
          <w:sz w:val="20"/>
        </w:rPr>
        <w:t>. Each Non-Employee Director who is initially elected or appointed to the Board following the Effective Date shall be automatically granted stock options to purchase 26,300 shares of the Company’s common stock under the Equity Plan on the date of such initial election or appointment. The awards described in this Section shall be referred to as “</w:t>
      </w:r>
      <w:r>
        <w:rPr>
          <w:rFonts w:ascii="Times New Roman" w:hAnsi="Times New Roman"/>
          <w:b/>
          <w:i/>
          <w:color w:val="000000"/>
          <w:sz w:val="20"/>
        </w:rPr>
        <w:t>Initial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Annual Awards</w:t>
      </w:r>
      <w:r>
        <w:rPr>
          <w:rFonts w:ascii="Times New Roman" w:hAnsi="Times New Roman"/>
          <w:color w:val="000000"/>
          <w:sz w:val="20"/>
        </w:rPr>
        <w:t>. A Non-Employee Director who (i) is serving on the Board as of the date of any annual meeting of the Company’s stockholders following the Effective Date, and (ii) will continue to serve as a Non-Employee Director immediately following such meeting, shall be automatically granted stock options to purchase 13,160 shares of the Company’s common stock under the Equity Plan on the date of such annual meeting. The awards described in this Section shall be referred to as “</w:t>
      </w:r>
      <w:r>
        <w:rPr>
          <w:rFonts w:ascii="Times New Roman" w:hAnsi="Times New Roman"/>
          <w:b/>
          <w:i/>
          <w:color w:val="000000"/>
          <w:sz w:val="20"/>
        </w:rPr>
        <w:t>Annual Awards</w:t>
      </w:r>
      <w:r>
        <w:rPr>
          <w:rFonts w:ascii="Times New Roman" w:hAnsi="Times New Roman"/>
          <w:color w:val="000000"/>
          <w:sz w:val="20"/>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pStyle w:val="TextBody"/>
        <w:bidi w:val="0"/>
        <w:spacing w:before="0" w:after="240"/>
        <w:jc w:val="both"/>
        <w:rPr>
          <w:rFonts w:ascii="Times New Roman" w:hAnsi="Times New Roman"/>
          <w:sz w:val="20"/>
        </w:rPr>
      </w:pPr>
      <w:r>
        <w:rPr>
          <w:rFonts w:ascii="Times New Roman" w:hAnsi="Times New Roman"/>
          <w:color w:val="000000"/>
          <w:sz w:val="20"/>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hAnsi="Times New Roman"/>
          <w:b/>
          <w:i/>
          <w:color w:val="000000"/>
          <w:sz w:val="20"/>
        </w:rPr>
        <w:t>Prorated Annual Award</w:t>
      </w:r>
      <w:r>
        <w:rPr>
          <w:rFonts w:ascii="Times New Roman" w:hAnsi="Times New Roman"/>
          <w:color w:val="000000"/>
          <w:sz w:val="20"/>
        </w:rPr>
        <w:t xml:space="preserve">” means the product determined by multiplying (i) the Annual Award, by (ii) a fraction, the numerator of which is equal to (x) 365 minus (y) the number of days that elapsed from the date of the annual meeting of the Company’s stockholders preceding the Non-Employee Director’s date of initial election or appointment to the date of such initial election or appointment, and the denominator of which is 365.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Terms of Awards Granted to Non-Employee Directors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1. </w:t>
      </w:r>
      <w:r>
        <w:rPr>
          <w:rFonts w:ascii="Times New Roman" w:hAnsi="Times New Roman"/>
          <w:i/>
          <w:color w:val="000000"/>
          <w:sz w:val="20"/>
        </w:rPr>
        <w:t>Vesting</w:t>
      </w:r>
      <w:r>
        <w:rPr>
          <w:rFonts w:ascii="Times New Roman" w:hAnsi="Times New Roman"/>
          <w:color w:val="000000"/>
          <w:sz w:val="20"/>
        </w:rPr>
        <w:t xml:space="preserve">. Each Initial Award shall vest and become exercisable in substantially equal monthly installments over the three (3) years 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the applicable vesting date.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Forfeiture.</w:t>
      </w:r>
      <w:r>
        <w:rPr>
          <w:rFonts w:ascii="Times New Roman" w:hAnsi="Times New Roman"/>
          <w:color w:val="000000"/>
          <w:sz w:val="20"/>
        </w:rPr>
        <w:t xml:space="preserve"> Unless the Board otherwise determines, any portion of an Initial Award or Annual Award which is unvested at the time of a Non-Employee Director’s termination of service on the Board as a Non-Employee Director shall be immediately forfeited upon such termination of service and shall not thereafter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become vested. All of a Non-Employee Director’s Initial Awards and Annual Awards shall vest in full immediately prior to the occurrence of a Change in Control (as defined in the Equity Plan), to the extent outstanding at such time.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 xml:space="preserve">3. </w:t>
      </w:r>
      <w:r>
        <w:rPr>
          <w:rFonts w:ascii="Times New Roman" w:hAnsi="Times New Roman"/>
          <w:i/>
          <w:color w:val="000000"/>
          <w:sz w:val="20"/>
        </w:rPr>
        <w:t>Reimbursements</w:t>
      </w:r>
      <w:r>
        <w:rPr>
          <w:rFonts w:ascii="Times New Roman" w:hAnsi="Times New Roman"/>
          <w:color w:val="000000"/>
          <w:sz w:val="20"/>
        </w:rPr>
        <w:t xml:space="preserve">.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 * *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4" w:name="tyra-ex10_2.htm"/>
      <w:bookmarkStart w:id="25" w:name="kstyraex10_2"/>
      <w:bookmarkEnd w:id="24"/>
      <w:bookmarkEnd w:id="25"/>
      <w:r>
        <w:rPr>
          <w:rFonts w:ascii="Times New Roman" w:hAnsi="Times New Roman"/>
          <w:b/>
          <w:color w:val="000000"/>
          <w:sz w:val="20"/>
        </w:rPr>
        <w:t>Exhibit 10.2</w:t>
      </w:r>
      <w:r>
        <w:br w:type="page"/>
      </w:r>
    </w:p>
    <w:p>
      <w:pPr>
        <w:pStyle w:val="TextBody"/>
        <w:pBdr>
          <w:top w:val="single" w:sz="6" w:space="1" w:color="000000"/>
          <w:left w:val="single" w:sz="6" w:space="4" w:color="000000"/>
          <w:right w:val="single" w:sz="6" w:space="4" w:color="000000"/>
        </w:pBdr>
        <w:bidi w:val="0"/>
        <w:jc w:val="center"/>
        <w:rPr/>
      </w:pPr>
      <w:r>
        <w:rPr/>
        <w:t> </w:t>
      </w:r>
    </w:p>
    <w:p>
      <w:pPr>
        <w:pStyle w:val="TextBody"/>
        <w:pBdr>
          <w:left w:val="single" w:sz="6" w:space="4" w:color="000000"/>
          <w:right w:val="single" w:sz="6" w:space="4" w:color="000000"/>
        </w:pBdr>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pBdr>
          <w:left w:val="single" w:sz="6" w:space="4" w:color="000000"/>
          <w:right w:val="single" w:sz="6" w:space="4" w:color="000000"/>
        </w:pBdr>
        <w:bidi w:val="0"/>
        <w:jc w:val="center"/>
        <w:rPr>
          <w:rFonts w:ascii="Times New Roman" w:hAnsi="Times New Roman"/>
          <w:b/>
          <w:color w:val="000000"/>
          <w:sz w:val="20"/>
        </w:rPr>
      </w:pPr>
      <w:r>
        <w:rPr>
          <w:rFonts w:ascii="Times New Roman" w:hAnsi="Times New Roman"/>
          <w:b/>
          <w:color w:val="000000"/>
          <w:sz w:val="20"/>
        </w:rPr>
        <w:t>2021 INCENTIVE AWARD PLAN</w:t>
      </w:r>
    </w:p>
    <w:p>
      <w:pPr>
        <w:pStyle w:val="TextBody"/>
        <w:pBdr>
          <w:left w:val="single" w:sz="6" w:space="4" w:color="000000"/>
          <w:bottom w:val="single" w:sz="6" w:space="1" w:color="000000"/>
          <w:right w:val="single" w:sz="6" w:space="4" w:color="000000"/>
        </w:pBdr>
        <w:bidi w:val="0"/>
        <w:jc w:val="center"/>
        <w:rPr/>
      </w:pPr>
      <w:r>
        <w:rPr/>
        <w:t> </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RESTRICTED STOCK Unit Grant Notice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Capitalized terms not specifically defined in this Restricted Stock Unit Grant Notice (the “</w:t>
      </w:r>
      <w:r>
        <w:rPr>
          <w:rFonts w:ascii="Times New Roman" w:hAnsi="Times New Roman"/>
          <w:b/>
          <w:i/>
          <w:color w:val="000000"/>
          <w:sz w:val="20"/>
        </w:rPr>
        <w:t>Grant Notice</w:t>
      </w:r>
      <w:r>
        <w:rPr>
          <w:rFonts w:ascii="Times New Roman" w:hAnsi="Times New Roman"/>
          <w:color w:val="000000"/>
          <w:sz w:val="20"/>
        </w:rPr>
        <w:t>”) have the meanings given to them in the 2021 Incentive Award Plan (as amended from time to time, the “</w:t>
      </w:r>
      <w:r>
        <w:rPr>
          <w:rFonts w:ascii="Times New Roman" w:hAnsi="Times New Roman"/>
          <w:b/>
          <w:i/>
          <w:color w:val="000000"/>
          <w:sz w:val="20"/>
        </w:rPr>
        <w:t>Plan</w:t>
      </w:r>
      <w:r>
        <w:rPr>
          <w:rFonts w:ascii="Times New Roman" w:hAnsi="Times New Roman"/>
          <w:color w:val="000000"/>
          <w:sz w:val="20"/>
        </w:rPr>
        <w:t>”) of Tyra Biosciences, Inc. (the “</w:t>
      </w:r>
      <w:r>
        <w:rPr>
          <w:rFonts w:ascii="Times New Roman" w:hAnsi="Times New Roman"/>
          <w:b/>
          <w:i/>
          <w:color w:val="000000"/>
          <w:sz w:val="20"/>
        </w:rPr>
        <w:t>Company</w:t>
      </w:r>
      <w:r>
        <w:rPr>
          <w:rFonts w:ascii="Times New Roman" w:hAnsi="Times New Roman"/>
          <w:color w:val="000000"/>
          <w:sz w:val="20"/>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0"/>
        </w:rPr>
        <w:t>The Company hereby grants to the participant listed below (“</w:t>
      </w:r>
      <w:r>
        <w:rPr>
          <w:rFonts w:ascii="Times New Roman" w:hAnsi="Times New Roman"/>
          <w:b/>
          <w:i/>
          <w:color w:val="000000"/>
          <w:sz w:val="20"/>
        </w:rPr>
        <w:t>Participant</w:t>
      </w:r>
      <w:r>
        <w:rPr>
          <w:rFonts w:ascii="Times New Roman" w:hAnsi="Times New Roman"/>
          <w:color w:val="000000"/>
          <w:sz w:val="20"/>
        </w:rPr>
        <w:t>”) the Restricted Stock Units described in this Grant Notice (the “</w:t>
      </w:r>
      <w:r>
        <w:rPr>
          <w:rFonts w:ascii="Times New Roman" w:hAnsi="Times New Roman"/>
          <w:b/>
          <w:i/>
          <w:color w:val="000000"/>
          <w:sz w:val="20"/>
        </w:rPr>
        <w:t>RSUs</w:t>
      </w:r>
      <w:r>
        <w:rPr>
          <w:rFonts w:ascii="Times New Roman" w:hAnsi="Times New Roman"/>
          <w:color w:val="000000"/>
          <w:sz w:val="20"/>
        </w:rPr>
        <w:t>,” and this award, the “</w:t>
      </w:r>
      <w:r>
        <w:rPr>
          <w:rFonts w:ascii="Times New Roman" w:hAnsi="Times New Roman"/>
          <w:b/>
          <w:i/>
          <w:color w:val="000000"/>
          <w:sz w:val="20"/>
        </w:rPr>
        <w:t>Award</w:t>
      </w:r>
      <w:r>
        <w:rPr>
          <w:rFonts w:ascii="Times New Roman" w:hAnsi="Times New Roman"/>
          <w:color w:val="000000"/>
          <w:sz w:val="20"/>
        </w:rPr>
        <w:t xml:space="preserve">”), subject to the terms and conditions of the Plan and the Restricted Stock Unit Agreement attached hereto as </w:t>
      </w:r>
      <w:r>
        <w:rPr>
          <w:rFonts w:ascii="Times New Roman" w:hAnsi="Times New Roman"/>
          <w:b/>
          <w:color w:val="000000"/>
          <w:sz w:val="20"/>
        </w:rPr>
        <w:t>Exhibit A</w:t>
      </w:r>
      <w:r>
        <w:rPr>
          <w:rFonts w:ascii="Times New Roman" w:hAnsi="Times New Roman"/>
          <w:color w:val="000000"/>
          <w:sz w:val="20"/>
        </w:rPr>
        <w:t xml:space="preserve"> (the “</w:t>
      </w:r>
      <w:r>
        <w:rPr>
          <w:rFonts w:ascii="Times New Roman" w:hAnsi="Times New Roman"/>
          <w:b/>
          <w:i/>
          <w:color w:val="000000"/>
          <w:sz w:val="20"/>
        </w:rPr>
        <w:t>Agreement</w:t>
      </w:r>
      <w:r>
        <w:rPr>
          <w:rFonts w:ascii="Times New Roman" w:hAnsi="Times New Roman"/>
          <w:color w:val="000000"/>
          <w:sz w:val="20"/>
        </w:rPr>
        <w:t xml:space="preserve">”), both of which are incorporated into this Grant Notice by reference. </w:t>
      </w:r>
    </w:p>
    <w:tbl>
      <w:tblPr>
        <w:tblW w:w="5837" w:type="dxa"/>
        <w:jc w:val="left"/>
        <w:tblInd w:w="0" w:type="dxa"/>
        <w:tblLayout w:type="fixed"/>
        <w:tblCellMar>
          <w:top w:w="28" w:type="dxa"/>
          <w:left w:w="28" w:type="dxa"/>
          <w:bottom w:w="28" w:type="dxa"/>
          <w:right w:w="28" w:type="dxa"/>
        </w:tblCellMar>
      </w:tblPr>
      <w:tblGrid>
        <w:gridCol w:w="2656"/>
        <w:gridCol w:w="3181"/>
      </w:tblGrid>
      <w:tr>
        <w:trPr/>
        <w:tc>
          <w:tcPr>
            <w:tcW w:w="265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Participant:</w:t>
            </w:r>
          </w:p>
        </w:tc>
        <w:tc>
          <w:tcPr>
            <w:tcW w:w="31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i/>
                <w:color w:val="000000"/>
                <w:sz w:val="20"/>
              </w:rPr>
            </w:pPr>
            <w:r>
              <w:rPr>
                <w:rFonts w:ascii="Times New Roman" w:hAnsi="Times New Roman"/>
                <w:i/>
                <w:color w:val="000000"/>
                <w:sz w:val="20"/>
              </w:rPr>
              <w:t>[Insert Participant Name]</w:t>
            </w:r>
          </w:p>
        </w:tc>
      </w:tr>
      <w:tr>
        <w:trPr/>
        <w:tc>
          <w:tcPr>
            <w:tcW w:w="26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Grant Date:</w:t>
            </w:r>
          </w:p>
        </w:tc>
        <w:tc>
          <w:tcPr>
            <w:tcW w:w="31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i/>
                <w:color w:val="000000"/>
                <w:sz w:val="20"/>
              </w:rPr>
            </w:pPr>
            <w:r>
              <w:rPr>
                <w:rFonts w:ascii="Times New Roman" w:hAnsi="Times New Roman"/>
                <w:i/>
                <w:color w:val="000000"/>
                <w:sz w:val="20"/>
              </w:rPr>
              <w:t>[Insert Grant Date]</w:t>
            </w:r>
          </w:p>
        </w:tc>
      </w:tr>
      <w:tr>
        <w:trPr/>
        <w:tc>
          <w:tcPr>
            <w:tcW w:w="26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Number of RSUs:</w:t>
            </w:r>
          </w:p>
        </w:tc>
        <w:tc>
          <w:tcPr>
            <w:tcW w:w="31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i/>
                <w:color w:val="000000"/>
                <w:sz w:val="20"/>
              </w:rPr>
            </w:pPr>
            <w:r>
              <w:rPr>
                <w:rFonts w:ascii="Times New Roman" w:hAnsi="Times New Roman"/>
                <w:i/>
                <w:color w:val="000000"/>
                <w:sz w:val="20"/>
              </w:rPr>
              <w:t>[Insert Number of RSUs]</w:t>
            </w:r>
          </w:p>
        </w:tc>
      </w:tr>
      <w:tr>
        <w:trPr/>
        <w:tc>
          <w:tcPr>
            <w:tcW w:w="26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Vesting Commencement Date:</w:t>
            </w:r>
          </w:p>
        </w:tc>
        <w:tc>
          <w:tcPr>
            <w:tcW w:w="31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i/>
                <w:color w:val="000000"/>
                <w:sz w:val="20"/>
              </w:rPr>
            </w:pPr>
            <w:r>
              <w:rPr>
                <w:rFonts w:ascii="Times New Roman" w:hAnsi="Times New Roman"/>
                <w:i/>
                <w:color w:val="000000"/>
                <w:sz w:val="20"/>
              </w:rPr>
              <w:t>[Insert Vesting Commencement Date]</w:t>
            </w:r>
          </w:p>
        </w:tc>
      </w:tr>
      <w:tr>
        <w:trPr/>
        <w:tc>
          <w:tcPr>
            <w:tcW w:w="265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Vesting Schedule:</w:t>
            </w:r>
          </w:p>
        </w:tc>
        <w:tc>
          <w:tcPr>
            <w:tcW w:w="31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i/>
                <w:color w:val="000000"/>
                <w:sz w:val="20"/>
              </w:rPr>
            </w:pPr>
            <w:r>
              <w:rPr>
                <w:rFonts w:ascii="Times New Roman" w:hAnsi="Times New Roman"/>
                <w:i/>
                <w:color w:val="000000"/>
                <w:sz w:val="20"/>
              </w:rPr>
              <w:t>[Insert Vesting Schedule]</w:t>
            </w:r>
          </w:p>
        </w:tc>
      </w:tr>
    </w:tbl>
    <w:p>
      <w:pPr>
        <w:pStyle w:val="TextBody"/>
        <w:bidi w:val="0"/>
        <w:jc w:val="both"/>
        <w:rPr/>
      </w:pPr>
      <w:r>
        <w:rPr/>
        <w: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If the Company uses an electronic capitalization table system (such as E*Trade, Shareworks or Carta) and the fields in this Grant Notice are blank or the information is otherwise provided in a different format electronically, the blank fields and other information will be deemed to come from the electronic capitalization system and is considered part of this Grant Notice.</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 xml:space="preserve">By accepting (whether in writing, electronically or otherwise, including an acceptance through an electronic capitalization table system used by the Company) the RSUs, Participant agrees to be bound by the terms of this Grant Notice, the Plan and the Agreement. Participant has reviewed the Plan, this Grant Notice and the Agreement in their entirety, has received a copy of the prospectus for the Plan,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 </w:t>
      </w:r>
    </w:p>
    <w:p>
      <w:pPr>
        <w:pStyle w:val="TextBody"/>
        <w:bidi w:val="0"/>
        <w:spacing w:before="0" w:after="240"/>
        <w:ind w:left="0" w:right="0" w:firstLine="720"/>
        <w:jc w:val="both"/>
        <w:rPr>
          <w:rFonts w:ascii="Times New Roman" w:hAnsi="Times New Roman"/>
          <w:color w:val="000000"/>
          <w:sz w:val="20"/>
        </w:rPr>
      </w:pPr>
      <w:r>
        <w:rPr>
          <w:rFonts w:ascii="Times New Roman" w:hAnsi="Times New Roman"/>
          <w:color w:val="000000"/>
          <w:sz w:val="20"/>
        </w:rPr>
        <w:t>Notwithstanding anything herein to the contrary, if the Participant does not accept this Award through the electronic acceptance process prior to the first anniversary of the earlier of the Vesting Commencement Date and the Grant Date (or such earlier other date that may be communicated to the Participant in writing by the Company), 100% of the RSUs will be immediately canceled, and the Participant will not be entitled to any benefits under the Award or this Agreement or to any compensation or benefits in lieu thereof. If the Participant declines this Award, this Award will be canceled, and the Participant will not be entitled to any benefits under the Award or this Agreement or to any compensation or benefits in lieu thereof.</w:t>
      </w:r>
    </w:p>
    <w:p>
      <w:pPr>
        <w:pStyle w:val="TextBody"/>
        <w:bidi w:val="0"/>
        <w:ind w:left="0" w:right="0" w:firstLine="720"/>
        <w:jc w:val="both"/>
        <w:rPr>
          <w:rFonts w:ascii="Times New Roman" w:hAnsi="Times New Roman"/>
          <w:sz w:val="20"/>
        </w:rPr>
      </w:pPr>
      <w:r>
        <w:rPr>
          <w:rFonts w:ascii="Times New Roman" w:hAnsi="Times New Roman"/>
          <w:b/>
          <w:color w:val="000000"/>
          <w:sz w:val="20"/>
        </w:rPr>
        <w:t>Mandatory Sell-to-Cover:</w:t>
      </w:r>
      <w:r>
        <w:rPr>
          <w:rFonts w:ascii="Times New Roman" w:hAnsi="Times New Roman"/>
          <w:color w:val="000000"/>
          <w:sz w:val="20"/>
        </w:rPr>
        <w:t xml:space="preserve"> By accepting this Award, Participant understands and agrees that the Award will be subject to the Company’s mandatory sell-to-cover policy in effect as of the Grant Date, unless otherwise determined by the Administrator. As a result, Participant will be required to (1) sell that number of Shares as may be necessary to satisfy all applicable Tax Withholding Obligations (as defined in the Agreement), as determined under the Company’s mandatory sell-to-cover policy, and (2) allow the brokerage firm determined acceptable to the Company to pay the cash proceeds of such sale(s) to the Company to satisfy such Tax Withholding Obligations.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Furthermore, Participant acknowledges that the Company will make a cash payment equal to the Tax Withholding Obligations from the cash proceeds of such sale(s) directly to the appropriate taxing authorities. </w:t>
      </w:r>
    </w:p>
    <w:p>
      <w:pPr>
        <w:pStyle w:val="TextBody"/>
        <w:bidi w:val="0"/>
        <w:jc w:val="left"/>
        <w:rPr/>
      </w:pPr>
      <w:r>
        <w:rPr/>
        <w:t> </w:t>
      </w:r>
    </w:p>
    <w:tbl>
      <w:tblPr>
        <w:tblW w:w="4137" w:type="dxa"/>
        <w:jc w:val="left"/>
        <w:tblInd w:w="0" w:type="dxa"/>
        <w:tblLayout w:type="fixed"/>
        <w:tblCellMar>
          <w:top w:w="28" w:type="dxa"/>
          <w:left w:w="28" w:type="dxa"/>
          <w:bottom w:w="28" w:type="dxa"/>
          <w:right w:w="28" w:type="dxa"/>
        </w:tblCellMar>
      </w:tblPr>
      <w:tblGrid>
        <w:gridCol w:w="2005"/>
        <w:gridCol w:w="500"/>
        <w:gridCol w:w="146"/>
        <w:gridCol w:w="1113"/>
        <w:gridCol w:w="373"/>
      </w:tblGrid>
      <w:tr>
        <w:trPr/>
        <w:tc>
          <w:tcPr>
            <w:tcW w:w="200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5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PARTICIPANT</w:t>
            </w:r>
          </w:p>
        </w:tc>
      </w:tr>
      <w:tr>
        <w:trPr/>
        <w:tc>
          <w:tcPr>
            <w:tcW w:w="25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 xml:space="preserve">Print Name: </w:t>
            </w:r>
          </w:p>
        </w:tc>
        <w:tc>
          <w:tcPr>
            <w:tcW w:w="500"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11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Print Name:</w:t>
            </w:r>
          </w:p>
        </w:tc>
        <w:tc>
          <w:tcPr>
            <w:tcW w:w="373"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200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Title:</w:t>
            </w:r>
          </w:p>
        </w:tc>
        <w:tc>
          <w:tcPr>
            <w:tcW w:w="500"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c>
          <w:tcPr>
            <w:tcW w:w="1113" w:type="dxa"/>
            <w:tcBorders/>
            <w:tcMar>
              <w:top w:w="0" w:type="dxa"/>
              <w:left w:w="0" w:type="dxa"/>
              <w:bottom w:w="0" w:type="dxa"/>
              <w:right w:w="0" w:type="dxa"/>
            </w:tcMar>
            <w:vAlign w:val="center"/>
          </w:tcPr>
          <w:p>
            <w:pPr>
              <w:pStyle w:val="TableContents"/>
              <w:bidi w:val="0"/>
              <w:spacing w:before="240" w:after="283"/>
              <w:jc w:val="left"/>
              <w:rPr/>
            </w:pPr>
            <w:r>
              <w:rPr/>
              <w:t> </w:t>
            </w:r>
          </w:p>
        </w:tc>
        <w:tc>
          <w:tcPr>
            <w:tcW w:w="373"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spacing w:before="0" w:after="24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exhibit 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RESTRICTED STOCK UNIT AGREEMENT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Capitalized terms not specifically defined in this Agreement have the meanings specified in the Grant Notice or, if not defined in the Grant Notice, in the Plan.</w:t>
      </w:r>
    </w:p>
    <w:p>
      <w:pPr>
        <w:pStyle w:val="TextBody"/>
        <w:bidi w:val="0"/>
        <w:spacing w:before="0" w:after="240"/>
        <w:jc w:val="center"/>
        <w:rPr>
          <w:rFonts w:ascii="Times New Roman" w:hAnsi="Times New Roman"/>
          <w:b/>
          <w:caps/>
          <w:color w:val="000000"/>
          <w:sz w:val="22"/>
        </w:rPr>
      </w:pPr>
      <w:bookmarkStart w:id="26" w:name="ole_link5"/>
      <w:bookmarkEnd w:id="26"/>
      <w:r>
        <w:rPr>
          <w:rFonts w:ascii="Times New Roman" w:hAnsi="Times New Roman"/>
          <w:b/>
          <w:caps/>
          <w:color w:val="000000"/>
          <w:sz w:val="22"/>
        </w:rPr>
        <w:t>aRTICLE I.</w:t>
        <w:br/>
        <w:t>general</w:t>
      </w:r>
      <w:bookmarkStart w:id="27" w:name="ole_link6"/>
      <w:bookmarkEnd w:id="27"/>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Award of RSUs</w:t>
      </w:r>
      <w:r>
        <w:rPr>
          <w:rFonts w:ascii="Times New Roman" w:hAnsi="Times New Roman"/>
          <w:color w:val="000000"/>
          <w:sz w:val="22"/>
        </w:rPr>
        <w:t>. The Company has granted the RSUs to Participant effective as of the grant date set forth in the Grant Notice (the “</w:t>
      </w:r>
      <w:r>
        <w:rPr>
          <w:rFonts w:ascii="Times New Roman" w:hAnsi="Times New Roman"/>
          <w:b/>
          <w:i/>
          <w:color w:val="000000"/>
          <w:sz w:val="22"/>
        </w:rPr>
        <w:t>Grant Date</w:t>
      </w:r>
      <w:r>
        <w:rPr>
          <w:rFonts w:ascii="Times New Roman" w:hAnsi="Times New Roman"/>
          <w:color w:val="000000"/>
          <w:sz w:val="20"/>
        </w:rPr>
        <w:t>”</w:t>
      </w:r>
      <w:r>
        <w:rPr>
          <w:rFonts w:ascii="Times New Roman" w:hAnsi="Times New Roman"/>
          <w:color w:val="000000"/>
          <w:sz w:val="22"/>
        </w:rPr>
        <w:t>). Each RSU represents the right to receive one Share, as set forth in this Agreement. Participant will have no right to the distribution of any Shares until the time (if ever) the RSUs have vested.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Incorporation of Terms of Plan</w:t>
      </w:r>
      <w:r>
        <w:rPr>
          <w:rFonts w:ascii="Times New Roman" w:hAnsi="Times New Roman"/>
          <w:color w:val="000000"/>
          <w:sz w:val="22"/>
        </w:rPr>
        <w:t>. The RSUs are subject to the terms and conditions set forth in this Agreement and the Plan, which is incorporated herein by reference. In the event of any inconsistency between the Plan and this Agreement, the terms of the Plan will control.</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Unsecured Promise</w:t>
      </w:r>
      <w:r>
        <w:rPr>
          <w:rFonts w:ascii="Times New Roman" w:hAnsi="Times New Roman"/>
          <w:color w:val="000000"/>
          <w:sz w:val="22"/>
        </w:rPr>
        <w:t>. The RSUs will at all times prior to settlement represent an unsecured Company obligation payable only from the Company’s general assets.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w:t>
        <w:br/>
        <w:t>VESTING; forfeiture AND SETTLEMENT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2.1 </w:t>
      </w:r>
      <w:r>
        <w:rPr>
          <w:rFonts w:ascii="Times New Roman" w:hAnsi="Times New Roman"/>
          <w:color w:val="000000"/>
          <w:sz w:val="22"/>
          <w:u w:val="single"/>
        </w:rPr>
        <w:t>Vesting; Forfeiture</w:t>
      </w:r>
      <w:r>
        <w:rPr>
          <w:rFonts w:ascii="Times New Roman" w:hAnsi="Times New Roman"/>
          <w:color w:val="000000"/>
          <w:sz w:val="22"/>
        </w:rPr>
        <w:t>. The RSUs will vest according to the vesting schedule in the Grant Notice (the “</w:t>
      </w:r>
      <w:r>
        <w:rPr>
          <w:rFonts w:ascii="Times New Roman" w:hAnsi="Times New Roman"/>
          <w:b/>
          <w:i/>
          <w:color w:val="000000"/>
          <w:sz w:val="22"/>
        </w:rPr>
        <w:t>Vesting Schedule</w:t>
      </w:r>
      <w:r>
        <w:rPr>
          <w:rFonts w:ascii="Times New Roman" w:hAnsi="Times New Roman"/>
          <w:color w:val="000000"/>
          <w:sz w:val="20"/>
        </w:rPr>
        <w:t>”</w:t>
      </w:r>
      <w:r>
        <w:rPr>
          <w:rFonts w:ascii="Times New Roman" w:hAnsi="Times New Roman"/>
          <w:color w:val="000000"/>
          <w:sz w:val="22"/>
        </w:rPr>
        <w:t>), except that any fraction of an RSU that would otherwise be vested will be accumulated and will vest only when a whole RSU has accumulated. Except as expressly provided in the Grant Notice, in the event of Participant’s Termination of Service for any reason, all unvested RSUs will immediately and automatically be cancelled and forfeited, except as otherwise determined by the Administrator or provided in a binding written agreement between Participant and the Company. Unless and until the RSUs have vested in accordance with the Vesting Schedule set forth in the Grant Notice, Participant will have no right to any distribution with respect to such RSUs.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Settlement</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(a) RSUs will be paid in Shares as soon as administratively practicable after the vesting of the applicable RSU, but in no event more than sixty (60) days after the applicable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(b) All distributions shall be made by the Company in the form of whole shares of Common Stock.</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(c) Neither the time nor form of distribution of Shares with respect to the RSUs may be changed, except as may be permitted by the Administrator in accordance with the Plan and Section 409A of the Code and the Treasury Regulations thereunder.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III.</w:t>
        <w:br/>
        <w:t>TAXATION AND TAX WITHHOLDING</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3.1 </w:t>
      </w:r>
      <w:r>
        <w:rPr>
          <w:rFonts w:ascii="Times New Roman" w:hAnsi="Times New Roman"/>
          <w:color w:val="000000"/>
          <w:sz w:val="22"/>
          <w:u w:val="single"/>
        </w:rPr>
        <w:t>Tax Withholding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(a) The Company shall not be obligated to deliver any certificate representing Shares issuable with respect to the RSUs to Participant or his or her legal representative unless and until Participant or his or her legal representative will have paid or otherwise satisfied in full the amount of all federal, state, local and foreign taxes required by Applicable Law to be withheld in connection with the vesting, exercise or settlement of the RSUs, the distribution of the Shares issuable with respect thereto, or any other taxable event related to the RSUs (the “</w:t>
      </w:r>
      <w:r>
        <w:rPr>
          <w:rFonts w:ascii="Times New Roman" w:hAnsi="Times New Roman"/>
          <w:b/>
          <w:i/>
          <w:color w:val="000000"/>
          <w:sz w:val="22"/>
        </w:rPr>
        <w:t>Tax Withholding Obligation</w:t>
      </w:r>
      <w:r>
        <w:rPr>
          <w:rFonts w:ascii="Times New Roman" w:hAnsi="Times New Roman"/>
          <w:color w:val="000000"/>
          <w:sz w:val="20"/>
        </w:rPr>
        <w:t>”</w:t>
      </w:r>
      <w:r>
        <w:rPr>
          <w:rFonts w:ascii="Times New Roman" w:hAnsi="Times New Roman"/>
          <w:color w:val="000000"/>
          <w:sz w:val="22"/>
        </w:rPr>
        <w:t>). Subject to Section 9.5 of the Plan, the Company will have the authority and the right to deduct or withhold, or require Participant to remit to the Company, an amount sufficient to satisfy any Tax Withholding Obligation, including, without limitation, the authority to deduct such amounts from other compensation payable to Participant by the Company.</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(b) Unless Participant elects to satisfy the Tax Withholding Obligation by some other means in accordance with Section 9.5 of the Plan, the Company will have the right, but not the obligation, with respect to the Tax Withholding Obligation arising as a result of the vesting, exercise or settlement of the RSUs, to treat Participant’s failure to provide timely payment in accordance with Section 9.5 of the Plan as Participant’s election to satisfy the Tax Withholding Obligation by requesting the Company to withhold a net number of vested Shares otherwise issuable pursuant to the RSUs having a then-current fair market value not exceeding the amount necessary to satisfy the Tax Withholding Obligation (provided that if Participant is subject to Section 16 of the Exchange Act, any such action by the Company will require the approval of the Administrator) in accordance with Section 9.5 of the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3.2 </w:t>
      </w:r>
      <w:r>
        <w:rPr>
          <w:rFonts w:ascii="Times New Roman" w:hAnsi="Times New Roman"/>
          <w:color w:val="000000"/>
          <w:sz w:val="22"/>
          <w:u w:val="single"/>
        </w:rPr>
        <w:t>Participant Responsibility; No Company Liability</w:t>
      </w:r>
      <w:r>
        <w:rPr>
          <w:rFonts w:ascii="Times New Roman" w:hAnsi="Times New Roman"/>
          <w:color w:val="000000"/>
          <w:sz w:val="22"/>
        </w:rPr>
        <w:t>. 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tax treatment to Participant in connection with the awarding, vesting or settlement of the RSUs or the subsequent sale of Shares. The Company and its Subsidiaries do not commit and are under no obligation to structure the RSUs to reduce or eliminate Participant’s tax liability.</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3.3 </w:t>
      </w:r>
      <w:r>
        <w:rPr>
          <w:rFonts w:ascii="Times New Roman" w:hAnsi="Times New Roman"/>
          <w:color w:val="000000"/>
          <w:sz w:val="22"/>
          <w:u w:val="single"/>
        </w:rPr>
        <w:t>Representation</w:t>
      </w:r>
      <w:r>
        <w:rPr>
          <w:rFonts w:ascii="Times New Roman" w:hAnsi="Times New Roman"/>
          <w:color w:val="000000"/>
          <w:sz w:val="22"/>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pStyle w:val="TextBody"/>
        <w:bidi w:val="0"/>
        <w:spacing w:before="0" w:after="240"/>
        <w:ind w:left="490" w:right="0" w:hanging="0"/>
        <w:jc w:val="center"/>
        <w:rPr>
          <w:rFonts w:ascii="Times New Roman" w:hAnsi="Times New Roman"/>
          <w:b/>
          <w:caps/>
          <w:color w:val="000000"/>
          <w:sz w:val="22"/>
        </w:rPr>
      </w:pPr>
      <w:r>
        <w:rPr>
          <w:rFonts w:ascii="Times New Roman" w:hAnsi="Times New Roman"/>
          <w:b/>
          <w:caps/>
          <w:color w:val="000000"/>
          <w:sz w:val="22"/>
        </w:rPr>
        <w:t>Article iv.</w:t>
        <w:br/>
        <w:t>other provisions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4.1 </w:t>
      </w:r>
      <w:r>
        <w:rPr>
          <w:rFonts w:ascii="Times New Roman" w:hAnsi="Times New Roman"/>
          <w:color w:val="000000"/>
          <w:sz w:val="22"/>
          <w:u w:val="single"/>
        </w:rPr>
        <w:t>Award Not Transferable; Other Restrictions</w:t>
      </w:r>
      <w:r>
        <w:rPr>
          <w:rFonts w:ascii="Times New Roman" w:hAnsi="Times New Roman"/>
          <w:color w:val="000000"/>
          <w:sz w:val="22"/>
        </w:rPr>
        <w:t>. Without limiting the generality of any other provision hereof, the Award will be subject to the restrictions on transferability set forth in Section 9.1 of the Plan. Without limiting the generality of any other provision hereof, Participant hereby expressly acknowledges that Section 10.8 (“</w:t>
      </w:r>
      <w:r>
        <w:rPr>
          <w:rFonts w:ascii="Times New Roman" w:hAnsi="Times New Roman"/>
          <w:b/>
          <w:i/>
          <w:color w:val="000000"/>
          <w:sz w:val="22"/>
        </w:rPr>
        <w:t>Lock-Up Period</w:t>
      </w:r>
      <w:r>
        <w:rPr>
          <w:rFonts w:ascii="Times New Roman" w:hAnsi="Times New Roman"/>
          <w:color w:val="000000"/>
          <w:sz w:val="20"/>
        </w:rPr>
        <w:t>”</w:t>
      </w:r>
      <w:r>
        <w:rPr>
          <w:rFonts w:ascii="Times New Roman" w:hAnsi="Times New Roman"/>
          <w:color w:val="000000"/>
          <w:sz w:val="22"/>
        </w:rPr>
        <w:t>) and Section 10.13 (“</w:t>
      </w:r>
      <w:r>
        <w:rPr>
          <w:rFonts w:ascii="Times New Roman" w:hAnsi="Times New Roman"/>
          <w:b/>
          <w:i/>
          <w:color w:val="000000"/>
          <w:sz w:val="22"/>
        </w:rPr>
        <w:t>Clawback Provisions</w:t>
      </w:r>
      <w:r>
        <w:rPr>
          <w:rFonts w:ascii="Times New Roman" w:hAnsi="Times New Roman"/>
          <w:color w:val="000000"/>
          <w:sz w:val="20"/>
        </w:rPr>
        <w:t>”</w:t>
      </w:r>
      <w:r>
        <w:rPr>
          <w:rFonts w:ascii="Times New Roman" w:hAnsi="Times New Roman"/>
          <w:color w:val="000000"/>
          <w:sz w:val="22"/>
        </w:rPr>
        <w:t>) of the Plan are expressly incorporated into this Agreement and are applicable to the Shares issued pursuant to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4.2 </w:t>
      </w:r>
      <w:r>
        <w:rPr>
          <w:rFonts w:ascii="Times New Roman" w:hAnsi="Times New Roman"/>
          <w:color w:val="000000"/>
          <w:sz w:val="22"/>
          <w:u w:val="single"/>
        </w:rPr>
        <w:t>Adjustments</w:t>
      </w:r>
      <w:r>
        <w:rPr>
          <w:rFonts w:ascii="Times New Roman" w:hAnsi="Times New Roman"/>
          <w:color w:val="000000"/>
          <w:sz w:val="22"/>
        </w:rPr>
        <w:t>. Participant acknowledges that the RSUs and the Shares subject to the RSUs are subject to adjustment, modification and termination in certain events as provided in this Agreement and the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4.3 </w:t>
      </w: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4.4 </w:t>
      </w: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4.5 </w:t>
      </w:r>
      <w:r>
        <w:rPr>
          <w:rFonts w:ascii="Times New Roman" w:hAnsi="Times New Roman"/>
          <w:color w:val="000000"/>
          <w:sz w:val="22"/>
          <w:u w:val="single"/>
        </w:rPr>
        <w:t>Conformity to Securities Laws</w:t>
      </w:r>
      <w:r>
        <w:rPr>
          <w:rFonts w:ascii="Times New Roman" w:hAnsi="Times New Roman"/>
          <w:color w:val="000000"/>
          <w:sz w:val="22"/>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w:t>
        <w:noBreakHyphen/>
        <w:t>3) that are requirements for the application of such exemptive rule. Participant acknowledges that the Plan, the Grant Notice and this Agreement are intended to conform to the extent necessary with all Applicable Laws and, to the extent Applicable Laws permit, will be deemed amended to the extent necessary to conform to such Applicable Laws or any such exemptive rule described in the preceding sentence.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4.6 </w:t>
      </w:r>
      <w:r>
        <w:rPr>
          <w:rFonts w:ascii="Times New Roman" w:hAnsi="Times New Roman"/>
          <w:color w:val="000000"/>
          <w:sz w:val="22"/>
          <w:u w:val="single"/>
        </w:rPr>
        <w:t>Successors and Assigns</w:t>
      </w:r>
      <w:r>
        <w:rPr>
          <w:rFonts w:ascii="Times New Roman" w:hAnsi="Times New Roman"/>
          <w:color w:val="000000"/>
          <w:sz w:val="22"/>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4.7 </w:t>
      </w:r>
      <w:r>
        <w:rPr>
          <w:rFonts w:ascii="Times New Roman" w:hAnsi="Times New Roman"/>
          <w:color w:val="000000"/>
          <w:sz w:val="22"/>
          <w:u w:val="single"/>
        </w:rPr>
        <w:t>Entire Agreement</w:t>
      </w:r>
      <w:r>
        <w:rPr>
          <w:rFonts w:ascii="Times New Roman" w:hAnsi="Times New Roman"/>
          <w:color w:val="000000"/>
          <w:sz w:val="22"/>
        </w:rPr>
        <w:t>. The Plan, the Grant Notice and this Agreement constitute the entire agreement of the parties and supersede in their entirety all prior undertakings and agreements of the Company and Participant with respect to the subject matter hereof. This Agreement may be amended by the Company in accordance with Section 9.6 of the Plan.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4.8 </w:t>
      </w:r>
      <w:r>
        <w:rPr>
          <w:rFonts w:ascii="Times New Roman" w:hAnsi="Times New Roman"/>
          <w:color w:val="000000"/>
          <w:sz w:val="22"/>
          <w:u w:val="single"/>
        </w:rPr>
        <w:t>Agreement Severable</w:t>
      </w:r>
      <w:r>
        <w:rPr>
          <w:rFonts w:ascii="Times New Roman" w:hAnsi="Times New Roman"/>
          <w:color w:val="000000"/>
          <w:sz w:val="22"/>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4.9 </w:t>
      </w:r>
      <w:r>
        <w:rPr>
          <w:rFonts w:ascii="Times New Roman" w:hAnsi="Times New Roman"/>
          <w:color w:val="000000"/>
          <w:sz w:val="22"/>
          <w:u w:val="single"/>
        </w:rPr>
        <w:t>Limitation on Participant’s Rights</w:t>
      </w:r>
      <w:r>
        <w:rPr>
          <w:rFonts w:ascii="Times New Roman" w:hAnsi="Times New Roman"/>
          <w:color w:val="000000"/>
          <w:sz w:val="22"/>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4.10 </w:t>
      </w:r>
      <w:r>
        <w:rPr>
          <w:rFonts w:ascii="Times New Roman" w:hAnsi="Times New Roman"/>
          <w:color w:val="000000"/>
          <w:sz w:val="22"/>
          <w:u w:val="single"/>
        </w:rPr>
        <w:t>Rights as a Stockholder</w:t>
      </w:r>
      <w:r>
        <w:rPr>
          <w:rFonts w:ascii="Times New Roman" w:hAnsi="Times New Roman"/>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4.11 </w:t>
      </w:r>
      <w:r>
        <w:rPr>
          <w:rFonts w:ascii="Times New Roman" w:hAnsi="Times New Roman"/>
          <w:color w:val="000000"/>
          <w:sz w:val="22"/>
          <w:u w:val="single"/>
        </w:rPr>
        <w:t>Not a Contract of Employment</w:t>
      </w:r>
      <w:r>
        <w:rPr>
          <w:rFonts w:ascii="Times New Roman" w:hAnsi="Times New Roman"/>
          <w:color w:val="000000"/>
          <w:sz w:val="22"/>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4.12 </w:t>
      </w:r>
      <w:r>
        <w:rPr>
          <w:rFonts w:ascii="Times New Roman" w:hAnsi="Times New Roman"/>
          <w:color w:val="000000"/>
          <w:sz w:val="22"/>
          <w:u w:val="single"/>
        </w:rPr>
        <w:t>Counterparts</w:t>
      </w:r>
      <w:r>
        <w:rPr>
          <w:rFonts w:ascii="Times New Roman" w:hAnsi="Times New Roman"/>
          <w:color w:val="000000"/>
          <w:sz w:val="22"/>
        </w:rPr>
        <w:t>. The Grant Notice may be executed in one or more counterparts, including by way of any electronic signature, subject to Applicable Law, each of which will be deemed an original and all of which together will constitute one instrument.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4.13 </w:t>
      </w:r>
      <w:r>
        <w:rPr>
          <w:rFonts w:ascii="Times New Roman" w:hAnsi="Times New Roman"/>
          <w:color w:val="000000"/>
          <w:sz w:val="22"/>
          <w:u w:val="single"/>
        </w:rPr>
        <w:t>Governing Law</w:t>
      </w:r>
      <w:r>
        <w:rPr>
          <w:rFonts w:ascii="Times New Roman" w:hAnsi="Times New Roman"/>
          <w:color w:val="000000"/>
          <w:sz w:val="22"/>
        </w:rPr>
        <w:t>. The provisions of the Plan and all Awards made thereunder, including the RSUs, shall be governed by and interpreted in accordance with the laws of the State of Delaware, disregarding choice-of-law principles of the law of any state that would require the application of the laws of a jurisdiction other than such state.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4.14 </w:t>
      </w:r>
      <w:r>
        <w:rPr>
          <w:rFonts w:ascii="Times New Roman" w:hAnsi="Times New Roman"/>
          <w:color w:val="000000"/>
          <w:sz w:val="22"/>
          <w:u w:val="single"/>
        </w:rPr>
        <w:t>Section 409A</w:t>
      </w:r>
      <w:r>
        <w:rPr>
          <w:rFonts w:ascii="Times New Roman" w:hAnsi="Times New Roman"/>
          <w:color w:val="000000"/>
          <w:sz w:val="22"/>
        </w:rPr>
        <w: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(a) 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“Section 409A”).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(b) This Agreement is not intended to provide for any deferral of compensation subject to Section 409A of the Code, and, accordingly, the Shares issuable pursuant to the RSUs hereunder shall be distributed to Participant no later than the later of: (A) the fifteenth (15th) day of the third month following Participant’s first taxable year in which such RSUs are no longer subject to a substantial risk of forfeiture, and (B) the fifteenth (15th) day of the third month following first taxable year of the Company in which such RSUs are no longer subject to substantial risk of forfeiture, as determined in accordance with Section 409A and any Treasury Regulations and other guidance issued thereunder.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 * * *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A-4</w:t>
      </w:r>
    </w:p>
    <w:p>
      <w:pPr>
        <w:pStyle w:val="HorizontalLine"/>
        <w:pBdr>
          <w:bottom w:val="double" w:sz="2" w:space="0" w:color="808080"/>
        </w:pBdr>
        <w:bidi w:val="0"/>
        <w:spacing w:before="0" w:after="283"/>
        <w:jc w:val="left"/>
        <w:rPr/>
      </w:pPr>
      <w:r>
        <w:rPr/>
      </w:r>
    </w:p>
    <w:p>
      <w:pPr>
        <w:pStyle w:val="TextBody"/>
        <w:bidi w:val="0"/>
        <w:jc w:val="right"/>
        <w:rPr/>
      </w:pPr>
      <w:bookmarkStart w:id="28" w:name="tyra-ex10_3.htm"/>
      <w:bookmarkStart w:id="29" w:name="kstyraex10_3"/>
      <w:bookmarkEnd w:id="28"/>
      <w:bookmarkEnd w:id="29"/>
      <w:r>
        <w:rPr/>
        <w:t> </w:t>
      </w:r>
      <w:r>
        <w:br w:type="page"/>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10.3</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TYRA BIOSCIENCES, INC.</w:t>
      </w:r>
    </w:p>
    <w:p>
      <w:pPr>
        <w:pStyle w:val="TextBody"/>
        <w:bidi w:val="0"/>
        <w:spacing w:before="0" w:after="240"/>
        <w:jc w:val="center"/>
        <w:rPr>
          <w:rFonts w:ascii="Times New Roman" w:hAnsi="Times New Roman"/>
          <w:sz w:val="20"/>
        </w:rPr>
      </w:pPr>
      <w:r>
        <w:rPr>
          <w:rFonts w:ascii="Times New Roman" w:hAnsi="Times New Roman"/>
          <w:b/>
          <w:color w:val="000000"/>
          <w:sz w:val="22"/>
        </w:rPr>
        <w:t>COMMON STOCK</w:t>
        <w:br/>
      </w:r>
      <w:r>
        <w:rPr>
          <w:rFonts w:ascii="Times New Roman" w:hAnsi="Times New Roman"/>
          <w:b/>
          <w:color w:val="000000"/>
          <w:sz w:val="22"/>
          <w:u w:val="single"/>
        </w:rPr>
        <w:t>AMENDMENT NO. 1 TO SALES AGREEMENT</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August 4, 2026</w:t>
      </w:r>
    </w:p>
    <w:p>
      <w:pPr>
        <w:pStyle w:val="TextBody"/>
        <w:bidi w:val="0"/>
        <w:jc w:val="both"/>
        <w:rPr>
          <w:rFonts w:ascii="Times New Roman" w:hAnsi="Times New Roman"/>
          <w:color w:val="000000"/>
          <w:sz w:val="22"/>
        </w:rPr>
      </w:pPr>
      <w:r>
        <w:rPr>
          <w:rFonts w:ascii="Times New Roman" w:hAnsi="Times New Roman"/>
          <w:color w:val="000000"/>
          <w:sz w:val="22"/>
        </w:rPr>
        <w:t>TD Securities (USA) LLC</w:t>
      </w:r>
    </w:p>
    <w:p>
      <w:pPr>
        <w:pStyle w:val="TextBody"/>
        <w:bidi w:val="0"/>
        <w:jc w:val="both"/>
        <w:rPr>
          <w:rFonts w:ascii="Times New Roman" w:hAnsi="Times New Roman"/>
          <w:color w:val="000000"/>
          <w:sz w:val="22"/>
        </w:rPr>
      </w:pPr>
      <w:r>
        <w:rPr>
          <w:rFonts w:ascii="Times New Roman" w:hAnsi="Times New Roman"/>
          <w:color w:val="000000"/>
          <w:sz w:val="22"/>
        </w:rPr>
        <w:t>1 Vanderbilt Avenue</w:t>
      </w:r>
    </w:p>
    <w:p>
      <w:pPr>
        <w:pStyle w:val="TextBody"/>
        <w:bidi w:val="0"/>
        <w:jc w:val="both"/>
        <w:rPr>
          <w:rFonts w:ascii="Times New Roman" w:hAnsi="Times New Roman"/>
          <w:color w:val="000000"/>
          <w:sz w:val="22"/>
        </w:rPr>
      </w:pPr>
      <w:r>
        <w:rPr>
          <w:rFonts w:ascii="Times New Roman" w:hAnsi="Times New Roman"/>
          <w:color w:val="000000"/>
          <w:sz w:val="22"/>
        </w:rPr>
        <w:t>New York, New York 10017</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Ladies and Gentlemen:</w:t>
      </w:r>
    </w:p>
    <w:p>
      <w:pPr>
        <w:pStyle w:val="TextBody"/>
        <w:bidi w:val="0"/>
        <w:ind w:left="0" w:right="0" w:firstLine="720"/>
        <w:jc w:val="both"/>
        <w:rPr>
          <w:rFonts w:ascii="Times New Roman" w:hAnsi="Times New Roman"/>
          <w:sz w:val="20"/>
        </w:rPr>
      </w:pPr>
      <w:r>
        <w:rPr>
          <w:rFonts w:ascii="Times New Roman" w:hAnsi="Times New Roman"/>
          <w:color w:val="000000"/>
          <w:sz w:val="22"/>
        </w:rPr>
        <w:t>Tyra Biosciences, Inc., a Delaware corporation (the “</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color w:val="000000"/>
          <w:sz w:val="22"/>
        </w:rPr>
        <w:t>), and TD Securities (USA) LLC (“</w:t>
      </w:r>
      <w:r>
        <w:rPr>
          <w:rFonts w:ascii="Times New Roman" w:hAnsi="Times New Roman"/>
          <w:b/>
          <w:color w:val="000000"/>
          <w:sz w:val="22"/>
          <w:u w:val="single"/>
        </w:rPr>
        <w:t>TD Cowen</w:t>
      </w:r>
      <w:r>
        <w:rPr>
          <w:rFonts w:ascii="Times New Roman" w:hAnsi="Times New Roman"/>
          <w:color w:val="000000"/>
          <w:sz w:val="20"/>
        </w:rPr>
        <w:t>”</w:t>
      </w:r>
      <w:r>
        <w:rPr>
          <w:rFonts w:ascii="Times New Roman" w:hAnsi="Times New Roman"/>
          <w:color w:val="000000"/>
          <w:sz w:val="22"/>
        </w:rPr>
        <w:t>), are parties to that certain Sales Agreement dated May 8, 2025 (the “</w:t>
      </w:r>
      <w:r>
        <w:rPr>
          <w:rFonts w:ascii="Times New Roman" w:hAnsi="Times New Roman"/>
          <w:b/>
          <w:color w:val="000000"/>
          <w:sz w:val="22"/>
          <w:u w:val="single"/>
        </w:rPr>
        <w:t>Original Agreement</w:t>
      </w:r>
      <w:r>
        <w:rPr>
          <w:rFonts w:ascii="Times New Roman" w:hAnsi="Times New Roman"/>
          <w:color w:val="000000"/>
          <w:sz w:val="20"/>
        </w:rPr>
        <w:t>”</w:t>
      </w:r>
      <w:r>
        <w:rPr>
          <w:rFonts w:ascii="Times New Roman" w:hAnsi="Times New Roman"/>
          <w:color w:val="000000"/>
          <w:sz w:val="22"/>
        </w:rPr>
        <w:t>). All capitalized terms not defined herein shall have the meanings ascribed to them in the Original Agreement. The Company and TD Cowen desire to amend the Original Agreement as set forth in this Amendment No. 1 thereto (this “</w:t>
      </w:r>
      <w:r>
        <w:rPr>
          <w:rFonts w:ascii="Times New Roman" w:hAnsi="Times New Roman"/>
          <w:b/>
          <w:color w:val="000000"/>
          <w:sz w:val="22"/>
          <w:u w:val="single"/>
        </w:rPr>
        <w:t>Amendment</w:t>
      </w:r>
      <w:r>
        <w:rPr>
          <w:rFonts w:ascii="Times New Roman" w:hAnsi="Times New Roman"/>
          <w:color w:val="000000"/>
          <w:sz w:val="20"/>
        </w:rPr>
        <w:t>”</w:t>
      </w:r>
      <w:r>
        <w:rPr>
          <w:rFonts w:ascii="Times New Roman" w:hAnsi="Times New Roman"/>
          <w:color w:val="000000"/>
          <w:sz w:val="22"/>
        </w:rPr>
        <w:t>) as follows:</w:t>
      </w:r>
    </w:p>
    <w:p>
      <w:pPr>
        <w:pStyle w:val="TextBody"/>
        <w:bidi w:val="0"/>
        <w:ind w:left="0" w:right="0" w:firstLine="720"/>
        <w:jc w:val="both"/>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color w:val="000000"/>
          <w:sz w:val="22"/>
          <w:u w:val="single"/>
        </w:rPr>
        <w:t>Issuance and Sale of Shares by TD Cowen</w:t>
      </w:r>
      <w:r>
        <w:rPr>
          <w:rFonts w:ascii="Times New Roman" w:hAnsi="Times New Roman"/>
          <w:color w:val="000000"/>
          <w:sz w:val="22"/>
        </w:rPr>
        <w:t xml:space="preserve">. The first paragraph of </w:t>
      </w:r>
      <w:r>
        <w:rPr>
          <w:rFonts w:ascii="Times New Roman" w:hAnsi="Times New Roman"/>
          <w:color w:val="000000"/>
          <w:sz w:val="22"/>
          <w:u w:val="single"/>
        </w:rPr>
        <w:t>Section 1</w:t>
      </w:r>
      <w:r>
        <w:rPr>
          <w:color w:val="000000"/>
        </w:rPr>
        <w:t xml:space="preserve"> </w:t>
      </w:r>
      <w:r>
        <w:rPr>
          <w:rFonts w:ascii="Times New Roman" w:hAnsi="Times New Roman"/>
          <w:color w:val="000000"/>
          <w:sz w:val="22"/>
        </w:rPr>
        <w:t>is hereby amended and restated in its entirety to read as follows: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color w:val="000000"/>
        </w:rPr>
        <w:t>“</w:t>
      </w:r>
      <w:r>
        <w:rPr>
          <w:rFonts w:ascii="Times New Roman" w:hAnsi="Times New Roman"/>
          <w:color w:val="000000"/>
          <w:sz w:val="22"/>
          <w:u w:val="single"/>
        </w:rPr>
        <w:t>Sale of Placement Shares by TD Cowen</w:t>
      </w:r>
      <w:r>
        <w:rPr>
          <w:rFonts w:ascii="Times New Roman" w:hAnsi="Times New Roman"/>
          <w:color w:val="000000"/>
          <w:sz w:val="22"/>
        </w:rPr>
        <w:t>.” The Company agrees that, from time to time during the term of this Agreement, on the terms and subject to the conditions set forth herein, it may issue and sell through TD Cowen, acting as agent and/or principal, shares (the “</w:t>
      </w:r>
      <w:r>
        <w:rPr>
          <w:rFonts w:ascii="Times New Roman" w:hAnsi="Times New Roman"/>
          <w:b/>
          <w:color w:val="000000"/>
          <w:sz w:val="22"/>
          <w:u w:val="single"/>
        </w:rPr>
        <w:t>Placement Shares</w:t>
      </w:r>
      <w:r>
        <w:rPr>
          <w:color w:val="000000"/>
        </w:rPr>
        <w:t>”</w:t>
      </w:r>
      <w:r>
        <w:rPr>
          <w:rFonts w:ascii="Times New Roman" w:hAnsi="Times New Roman"/>
          <w:color w:val="000000"/>
          <w:sz w:val="22"/>
        </w:rPr>
        <w:t>) of the Company’s common stock, par value $0.0001 per share (the “</w:t>
      </w:r>
      <w:r>
        <w:rPr>
          <w:rFonts w:ascii="Times New Roman" w:hAnsi="Times New Roman"/>
          <w:b/>
          <w:color w:val="000000"/>
          <w:sz w:val="22"/>
          <w:u w:val="single"/>
        </w:rPr>
        <w:t>Common Stock</w:t>
      </w:r>
      <w:r>
        <w:rPr>
          <w:color w:val="000000"/>
        </w:rPr>
        <w:t>”</w:t>
      </w:r>
      <w:r>
        <w:rPr>
          <w:rFonts w:ascii="Times New Roman" w:hAnsi="Times New Roman"/>
          <w:color w:val="000000"/>
          <w:sz w:val="22"/>
        </w:rPr>
        <w:t>) having an aggregate offering price the lesser of (a) the number or dollar amount of Common Stock registered under the effective Registration Statement (defined below) pursuant to which the offering is being made, (b) the number of authorized but unissued Common Stock (less Common Stock issuable upon exercise, conversion or exchange of any outstanding securities of the Company or otherwise reserved from the Company’s authorized capital stock), (c) the number or dollar amount of Common Stock permitted to be sold under Form S-3 (including General Instruction I.B.6 thereof, if applicable), or (d) the number or dollar amount of Common Shares for which the Company has filed a Prospectus (defined below) the “</w:t>
      </w:r>
      <w:r>
        <w:rPr>
          <w:rFonts w:ascii="Times New Roman" w:hAnsi="Times New Roman"/>
          <w:b/>
          <w:color w:val="000000"/>
          <w:sz w:val="22"/>
          <w:u w:val="single"/>
        </w:rPr>
        <w:t>Maximum Amount</w:t>
      </w:r>
      <w:r>
        <w:rPr>
          <w:color w:val="000000"/>
        </w:rPr>
        <w:t>”</w:t>
      </w:r>
      <w:r>
        <w:rPr>
          <w:rFonts w:ascii="Times New Roman" w:hAnsi="Times New Roman"/>
          <w:color w:val="000000"/>
          <w:sz w:val="22"/>
        </w:rPr>
        <w:t>). Notwithstanding anything to the contrary contained herein, the parties hereto agree that compliance with the limitation set forth in this Section 1 on the number of shares of Common Stock issued and sold under this Agreement shall be the sole responsibility of the Company, and TD Cowen shall have no obligation in connection with such compliance. The issuance and sale of the Placement Shares through TD Cowen will be effected pursuant to the Registration Statement (as defined below) filed by the Company and after such Registration Statement has been declared effective by the Securities and Exchange Commission (the “</w:t>
      </w:r>
      <w:r>
        <w:rPr>
          <w:rFonts w:ascii="Times New Roman" w:hAnsi="Times New Roman"/>
          <w:b/>
          <w:color w:val="000000"/>
          <w:sz w:val="22"/>
          <w:u w:val="single"/>
        </w:rPr>
        <w:t>Commission</w:t>
      </w:r>
      <w:r>
        <w:rPr>
          <w:color w:val="000000"/>
        </w:rPr>
        <w:t>”</w:t>
      </w:r>
      <w:r>
        <w:rPr>
          <w:rFonts w:ascii="Times New Roman" w:hAnsi="Times New Roman"/>
          <w:color w:val="000000"/>
          <w:sz w:val="22"/>
        </w:rPr>
        <w:t>), although nothing in this Agreement shall be construed as requiring the Company to use the Registration Statement (as defined below) to issue the Placement Shares. The Company acknowledges and agrees that sales of Common Stock under this Agreement may be made through affiliates of TD Cowen, and that TD Cowen may otherwise fulfill its obligations pursuant to this Agreement to or through an affiliated broker-dealer.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Company shall file, in accordance with the provisions of the Securities Act of 1933, as amended, and the rules and regulations thereunder (collectively, the “</w:t>
      </w:r>
      <w:r>
        <w:rPr>
          <w:rFonts w:ascii="Times New Roman" w:hAnsi="Times New Roman"/>
          <w:b/>
          <w:color w:val="000000"/>
          <w:sz w:val="22"/>
          <w:u w:val="single"/>
        </w:rPr>
        <w:t>Securities Act</w:t>
      </w:r>
      <w:r>
        <w:rPr>
          <w:rFonts w:ascii="Times New Roman" w:hAnsi="Times New Roman"/>
          <w:color w:val="000000"/>
          <w:sz w:val="20"/>
        </w:rPr>
        <w:t>”</w:t>
      </w:r>
      <w:r>
        <w:rPr>
          <w:rFonts w:ascii="Times New Roman" w:hAnsi="Times New Roman"/>
          <w:color w:val="000000"/>
          <w:sz w:val="22"/>
        </w:rPr>
        <w:t>), with the Commission a registration statement on Form S-3, including a base prospectus, relating to certain securities, including the Common Stock, to be issued from time to time by the Company, and which incorporates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reference documents that the Company has filed or will file in accordance with the provisions of the Securities Exchange Act of 1934, as amended, and the rules and regulations thereunder (collectively, the “</w:t>
      </w:r>
      <w:r>
        <w:rPr>
          <w:rFonts w:ascii="Times New Roman" w:hAnsi="Times New Roman"/>
          <w:b/>
          <w:color w:val="000000"/>
          <w:sz w:val="22"/>
          <w:u w:val="single"/>
        </w:rPr>
        <w:t>Exchange Act</w:t>
      </w:r>
      <w:r>
        <w:rPr>
          <w:rFonts w:ascii="Times New Roman" w:hAnsi="Times New Roman"/>
          <w:color w:val="000000"/>
          <w:sz w:val="20"/>
        </w:rPr>
        <w:t>”</w:t>
      </w:r>
      <w:r>
        <w:rPr>
          <w:rFonts w:ascii="Times New Roman" w:hAnsi="Times New Roman"/>
          <w:color w:val="000000"/>
          <w:sz w:val="22"/>
        </w:rPr>
        <w:t>). The Company has prepared a prospectus specifically relating to the Placement Shares (the “</w:t>
      </w:r>
      <w:r>
        <w:rPr>
          <w:rFonts w:ascii="Times New Roman" w:hAnsi="Times New Roman"/>
          <w:b/>
          <w:color w:val="000000"/>
          <w:sz w:val="22"/>
          <w:u w:val="single"/>
        </w:rPr>
        <w:t>ATM</w:t>
      </w:r>
      <w:r>
        <w:rPr>
          <w:rFonts w:ascii="Times New Roman" w:hAnsi="Times New Roman"/>
          <w:color w:val="000000"/>
          <w:sz w:val="20"/>
          <w:u w:val="single"/>
        </w:rPr>
        <w:t xml:space="preserve"> </w:t>
      </w:r>
      <w:r>
        <w:rPr>
          <w:rFonts w:ascii="Times New Roman" w:hAnsi="Times New Roman"/>
          <w:b/>
          <w:color w:val="000000"/>
          <w:sz w:val="22"/>
          <w:u w:val="single"/>
        </w:rPr>
        <w:t>Prospectus</w:t>
      </w:r>
      <w:r>
        <w:rPr>
          <w:rFonts w:ascii="Times New Roman" w:hAnsi="Times New Roman"/>
          <w:color w:val="000000"/>
          <w:sz w:val="20"/>
        </w:rPr>
        <w:t>”</w:t>
      </w:r>
      <w:r>
        <w:rPr>
          <w:rFonts w:ascii="Times New Roman" w:hAnsi="Times New Roman"/>
          <w:color w:val="000000"/>
          <w:sz w:val="22"/>
        </w:rPr>
        <w:t>) accompanying the base prospectus included as part of such registration statement, and shall, if necessary, prepare a prospectus supplement specifically relating to the Placement Shares (the “</w:t>
      </w:r>
      <w:r>
        <w:rPr>
          <w:rFonts w:ascii="Times New Roman" w:hAnsi="Times New Roman"/>
          <w:b/>
          <w:color w:val="000000"/>
          <w:sz w:val="22"/>
          <w:u w:val="single"/>
        </w:rPr>
        <w:t>Prospectus Supplement</w:t>
      </w:r>
      <w:r>
        <w:rPr>
          <w:rFonts w:ascii="Times New Roman" w:hAnsi="Times New Roman"/>
          <w:color w:val="000000"/>
          <w:sz w:val="20"/>
        </w:rPr>
        <w:t>”</w:t>
      </w:r>
      <w:r>
        <w:rPr>
          <w:rFonts w:ascii="Times New Roman" w:hAnsi="Times New Roman"/>
          <w:color w:val="000000"/>
          <w:sz w:val="22"/>
        </w:rPr>
        <w:t>) to the base prospectus included as part of such registration statement. The Company shall furnish to TD Cowen, for use by TD Cowen, copies of the prospectus included as part of such registration statement, as supplemented by the Prospectus Supplement, if any, relating to the Placement Shares. The Company may file one or more additional registration statements from time to time that will contain a base prospectus and related prospectus or prospectus supplement, if applicable with respect to the Placement Shares. Except where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hAnsi="Times New Roman"/>
          <w:b/>
          <w:color w:val="000000"/>
          <w:sz w:val="22"/>
          <w:u w:val="single"/>
        </w:rPr>
        <w:t>Registration Statement.</w:t>
      </w:r>
      <w:r>
        <w:rPr>
          <w:rFonts w:ascii="Times New Roman" w:hAnsi="Times New Roman"/>
          <w:color w:val="000000"/>
          <w:sz w:val="20"/>
        </w:rPr>
        <w:t xml:space="preserve">” </w:t>
      </w:r>
      <w:r>
        <w:rPr>
          <w:rFonts w:ascii="Times New Roman" w:hAnsi="Times New Roman"/>
          <w:color w:val="000000"/>
          <w:sz w:val="22"/>
        </w:rPr>
        <w:t>Any registration statement and amendments thereto filed pursuant to Rule 462(b) of the Securities Act and relating to the offering covered by the Registration Statement is herein called a “</w:t>
      </w:r>
      <w:r>
        <w:rPr>
          <w:rFonts w:ascii="Times New Roman" w:hAnsi="Times New Roman"/>
          <w:b/>
          <w:color w:val="000000"/>
          <w:sz w:val="22"/>
        </w:rPr>
        <w:t>Rule 462(b) Registration Statement</w:t>
      </w:r>
      <w:r>
        <w:rPr>
          <w:rFonts w:ascii="Times New Roman" w:hAnsi="Times New Roman"/>
          <w:color w:val="000000"/>
          <w:sz w:val="20"/>
        </w:rPr>
        <w:t xml:space="preserve">” </w:t>
      </w:r>
      <w:r>
        <w:rPr>
          <w:rFonts w:ascii="Times New Roman" w:hAnsi="Times New Roman"/>
          <w:color w:val="000000"/>
          <w:sz w:val="22"/>
        </w:rPr>
        <w:t>and, after such filing, the “Registration Statement” shall include any Rule 462(b) Registration Statement. The base prospectus, 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hAnsi="Times New Roman"/>
          <w:b/>
          <w:color w:val="000000"/>
          <w:sz w:val="22"/>
          <w:u w:val="single"/>
        </w:rPr>
        <w:t>Rule 433</w:t>
      </w:r>
      <w:r>
        <w:rPr>
          <w:rFonts w:ascii="Times New Roman" w:hAnsi="Times New Roman"/>
          <w:color w:val="000000"/>
          <w:sz w:val="20"/>
        </w:rPr>
        <w:t>”</w:t>
      </w:r>
      <w:r>
        <w:rPr>
          <w:rFonts w:ascii="Times New Roman" w:hAnsi="Times New Roman"/>
          <w:b/>
          <w:color w:val="000000"/>
          <w:sz w:val="22"/>
          <w:u w:val="single"/>
        </w:rPr>
        <w:t>)</w:t>
      </w:r>
      <w:r>
        <w:rPr>
          <w:rFonts w:ascii="Times New Roman" w:hAnsi="Times New Roman"/>
          <w:color w:val="000000"/>
          <w:sz w:val="22"/>
        </w:rPr>
        <w:t>, relating to the Placement Shares that (i) is consented to by TD Cowen, hereinafter referred to as a “</w:t>
      </w:r>
      <w:r>
        <w:rPr>
          <w:rFonts w:ascii="Times New Roman" w:hAnsi="Times New Roman"/>
          <w:b/>
          <w:color w:val="000000"/>
          <w:sz w:val="22"/>
          <w:u w:val="single"/>
        </w:rPr>
        <w:t>Permitted Free Writing Prospectus</w:t>
      </w:r>
      <w:r>
        <w:rPr>
          <w:rFonts w:ascii="Times New Roman" w:hAnsi="Times New Roman"/>
          <w:color w:val="000000"/>
          <w:sz w:val="22"/>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color w:val="000000"/>
          <w:sz w:val="22"/>
          <w:u w:val="single"/>
        </w:rPr>
        <w:t>Prospectus</w:t>
      </w:r>
      <w:r>
        <w:rPr>
          <w:rFonts w:ascii="Times New Roman" w:hAnsi="Times New Roman"/>
          <w:color w:val="000000"/>
          <w:sz w:val="22"/>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color w:val="000000"/>
          <w:sz w:val="22"/>
          <w:u w:val="single"/>
        </w:rPr>
        <w:t>EDGAR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color w:val="000000"/>
          <w:sz w:val="22"/>
        </w:rPr>
        <w:t>All references in the Original Agreement to the “Agreement” shall mean the Original Agreement as amended by this Amendment;</w:t>
      </w:r>
      <w:r>
        <w:rPr>
          <w:color w:val="000000"/>
        </w:rPr>
        <w:t xml:space="preserve"> </w:t>
      </w:r>
      <w:r>
        <w:rPr>
          <w:rFonts w:ascii="Times New Roman" w:hAnsi="Times New Roman"/>
          <w:i/>
          <w:color w:val="000000"/>
          <w:sz w:val="22"/>
        </w:rPr>
        <w:t>provided, however</w:t>
      </w:r>
      <w:r>
        <w:rPr>
          <w:rFonts w:ascii="Times New Roman" w:hAnsi="Times New Roman"/>
          <w:color w:val="000000"/>
          <w:sz w:val="22"/>
        </w:rPr>
        <w:t xml:space="preserve">, that all references to “date of this Agreement” in the Original Agreement shall continue to refer to the date of the Original Agreement, unless amended otherwise herein and except with respect to the first paragraph of </w:t>
      </w:r>
      <w:r>
        <w:rPr>
          <w:rFonts w:ascii="Times New Roman" w:hAnsi="Times New Roman"/>
          <w:color w:val="000000"/>
          <w:sz w:val="22"/>
          <w:u w:val="single"/>
        </w:rPr>
        <w:t>Section 6</w:t>
      </w:r>
      <w:r>
        <w:rPr>
          <w:rFonts w:ascii="Times New Roman" w:hAnsi="Times New Roman"/>
          <w:color w:val="000000"/>
          <w:sz w:val="22"/>
        </w:rPr>
        <w:t>, where references to the “date of this Agreement” in the Original Agreement shall refer to each of the date of the Original Agreement and the date of this Amendment.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color w:val="000000"/>
          <w:sz w:val="22"/>
          <w:u w:val="single"/>
        </w:rPr>
        <w:t>Original Agreement Remains in Effect</w:t>
      </w:r>
      <w:r>
        <w:rPr>
          <w:rFonts w:ascii="Times New Roman" w:hAnsi="Times New Roman"/>
          <w:color w:val="000000"/>
          <w:sz w:val="22"/>
        </w:rPr>
        <w:t>. Except as specifically set forth herein, all other provisions of the Original Agreement shall remain in full force and effect.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xml:space="preserve">. This Amendment, together with the Original Agreement (including all schedules and exhibits attached hereto and thereto), constitutes the entire agreement and supersedes all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other prior and contemporaneous agreements and undertakings, both written and oral, among the parties hereto with regard to the subject matter hereof. Neither this Amendment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w:t>
      </w:r>
      <w:r>
        <w:rPr>
          <w:color w:val="000000"/>
        </w:rPr>
        <w:t xml:space="preserve">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Amendment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Amendment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two or more counterparts, each of which shall be deemed an original, but all of which together shall constitute one and the same instrument. Delivery of an executed Amendment by one party to the other may be made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[Remainder of Page Intentionally Blank]</w:t>
      </w:r>
    </w:p>
    <w:p>
      <w:pPr>
        <w:pStyle w:val="TextBody"/>
        <w:bidi w:val="0"/>
        <w:spacing w:before="0" w:after="240"/>
        <w:ind w:left="0" w:right="0" w:firstLine="72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If the foregoing correctly sets forth the understanding between the Company and TD Cowen, please so indicate in the space provided below for that purpose, whereupon this Amendment shall constitute a binding agreement between the Company and TD Cowen.</w:t>
      </w:r>
    </w:p>
    <w:p>
      <w:pPr>
        <w:pStyle w:val="TextBody"/>
        <w:bidi w:val="0"/>
        <w:spacing w:before="0" w:after="240"/>
        <w:ind w:left="4320" w:right="0" w:hanging="0"/>
        <w:jc w:val="left"/>
        <w:rPr>
          <w:rFonts w:ascii="Times New Roman" w:hAnsi="Times New Roman"/>
          <w:color w:val="000000"/>
          <w:sz w:val="22"/>
        </w:rPr>
      </w:pPr>
      <w:r>
        <w:rPr>
          <w:rFonts w:ascii="Times New Roman" w:hAnsi="Times New Roman"/>
          <w:color w:val="000000"/>
          <w:sz w:val="22"/>
        </w:rPr>
        <w:t>Very truly yours,</w:t>
      </w:r>
    </w:p>
    <w:p>
      <w:pPr>
        <w:pStyle w:val="TextBody"/>
        <w:bidi w:val="0"/>
        <w:spacing w:before="0" w:after="480"/>
        <w:ind w:left="4320" w:right="0" w:hanging="0"/>
        <w:jc w:val="left"/>
        <w:rPr>
          <w:rFonts w:ascii="Times New Roman" w:hAnsi="Times New Roman"/>
          <w:b/>
          <w:color w:val="000000"/>
          <w:sz w:val="22"/>
        </w:rPr>
      </w:pPr>
      <w:r>
        <w:rPr>
          <w:rFonts w:ascii="Times New Roman" w:hAnsi="Times New Roman"/>
          <w:b/>
          <w:color w:val="000000"/>
          <w:sz w:val="22"/>
        </w:rPr>
        <w:t>TD SECURITIES (USA) LLC</w:t>
      </w:r>
    </w:p>
    <w:p>
      <w:pPr>
        <w:pStyle w:val="TextBody"/>
        <w:bidi w:val="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Michael Murphy </w:t>
      </w:r>
    </w:p>
    <w:p>
      <w:pPr>
        <w:pStyle w:val="TextBody"/>
        <w:bidi w:val="0"/>
        <w:ind w:left="4320" w:right="0" w:hanging="0"/>
        <w:jc w:val="left"/>
        <w:rPr>
          <w:rFonts w:ascii="Times New Roman" w:hAnsi="Times New Roman"/>
          <w:sz w:val="20"/>
        </w:rPr>
      </w:pPr>
      <w:r>
        <w:rPr>
          <w:rFonts w:ascii="Times New Roman" w:hAnsi="Times New Roman"/>
          <w:color w:val="000000"/>
          <w:sz w:val="22"/>
        </w:rPr>
        <w:t>Name: Michael Murphy</w:t>
      </w:r>
      <w:r>
        <w:rPr>
          <w:rFonts w:ascii="Times New Roman" w:hAnsi="Times New Roman"/>
          <w:color w:val="000000"/>
          <w:sz w:val="20"/>
        </w:rPr>
        <w:t xml:space="preserve"> </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Title: Managing Director</w:t>
      </w:r>
      <w:r>
        <w:rPr>
          <w:rFonts w:ascii="Times New Roman" w:hAnsi="Times New Roman"/>
          <w:color w:val="000000"/>
          <w:sz w:val="20"/>
        </w:rPr>
        <w:t xml:space="preserve"> </w:t>
      </w:r>
    </w:p>
    <w:p>
      <w:pPr>
        <w:pStyle w:val="TextBody"/>
        <w:bidi w:val="0"/>
        <w:ind w:left="4320" w:right="0" w:hanging="0"/>
        <w:jc w:val="left"/>
        <w:rPr>
          <w:rFonts w:ascii="Times New Roman" w:hAnsi="Times New Roman"/>
          <w:b/>
          <w:color w:val="000000"/>
          <w:sz w:val="22"/>
        </w:rPr>
      </w:pPr>
      <w:r>
        <w:rPr>
          <w:rFonts w:ascii="Times New Roman" w:hAnsi="Times New Roman"/>
          <w:b/>
          <w:color w:val="000000"/>
          <w:sz w:val="22"/>
        </w:rPr>
        <w:t>ACCEPTED as of the date</w:t>
      </w:r>
    </w:p>
    <w:p>
      <w:pPr>
        <w:pStyle w:val="TextBody"/>
        <w:bidi w:val="0"/>
        <w:spacing w:before="0" w:after="240"/>
        <w:ind w:left="4320" w:right="0" w:hanging="0"/>
        <w:jc w:val="left"/>
        <w:rPr>
          <w:rFonts w:ascii="Times New Roman" w:hAnsi="Times New Roman"/>
          <w:b/>
          <w:color w:val="000000"/>
          <w:sz w:val="22"/>
        </w:rPr>
      </w:pPr>
      <w:r>
        <w:rPr>
          <w:rFonts w:ascii="Times New Roman" w:hAnsi="Times New Roman"/>
          <w:b/>
          <w:color w:val="000000"/>
          <w:sz w:val="22"/>
        </w:rPr>
        <w:t>first-above written:</w:t>
      </w:r>
    </w:p>
    <w:p>
      <w:pPr>
        <w:pStyle w:val="TextBody"/>
        <w:bidi w:val="0"/>
        <w:spacing w:before="0" w:after="480"/>
        <w:ind w:left="4320" w:right="0" w:hanging="0"/>
        <w:jc w:val="left"/>
        <w:rPr>
          <w:rFonts w:ascii="Times New Roman" w:hAnsi="Times New Roman"/>
          <w:sz w:val="20"/>
        </w:rPr>
      </w:pPr>
      <w:r>
        <w:rPr>
          <w:rFonts w:ascii="Times New Roman" w:hAnsi="Times New Roman"/>
          <w:color w:val="000000"/>
          <w:sz w:val="22"/>
        </w:rPr>
        <w:t>For and on behalf of</w:t>
      </w:r>
      <w:r>
        <w:rPr>
          <w:rFonts w:ascii="Times New Roman" w:hAnsi="Times New Roman"/>
          <w:b/>
          <w:color w:val="000000"/>
          <w:sz w:val="22"/>
        </w:rPr>
        <w:br/>
        <w:t>TYRA BIOSCIENCES, INC.</w:t>
      </w:r>
    </w:p>
    <w:p>
      <w:pPr>
        <w:pStyle w:val="TextBody"/>
        <w:bidi w:val="0"/>
        <w:ind w:left="4320" w:right="0" w:hanging="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Todd Harris, Ph.D. </w:t>
      </w:r>
    </w:p>
    <w:p>
      <w:pPr>
        <w:pStyle w:val="TextBody"/>
        <w:bidi w:val="0"/>
        <w:ind w:left="4320" w:right="0" w:hanging="0"/>
        <w:jc w:val="left"/>
        <w:rPr>
          <w:rFonts w:ascii="Times New Roman" w:hAnsi="Times New Roman"/>
          <w:sz w:val="20"/>
        </w:rPr>
      </w:pPr>
      <w:r>
        <w:rPr>
          <w:rFonts w:ascii="Times New Roman" w:hAnsi="Times New Roman"/>
          <w:color w:val="000000"/>
          <w:sz w:val="22"/>
        </w:rPr>
        <w:t>Name: Todd Harris</w:t>
      </w:r>
      <w:r>
        <w:rPr>
          <w:rFonts w:ascii="Times New Roman" w:hAnsi="Times New Roman"/>
          <w:color w:val="000000"/>
          <w:sz w:val="20"/>
        </w:rPr>
        <w:t xml:space="preserve"> </w:t>
      </w:r>
    </w:p>
    <w:p>
      <w:pPr>
        <w:pStyle w:val="TextBody"/>
        <w:bidi w:val="0"/>
        <w:ind w:left="4320" w:right="0" w:hanging="0"/>
        <w:jc w:val="left"/>
        <w:rPr>
          <w:rFonts w:ascii="Times New Roman" w:hAnsi="Times New Roman"/>
          <w:color w:val="000000"/>
          <w:sz w:val="22"/>
        </w:rPr>
      </w:pPr>
      <w:r>
        <w:rPr>
          <w:rFonts w:ascii="Times New Roman" w:hAnsi="Times New Roman"/>
          <w:color w:val="000000"/>
          <w:sz w:val="22"/>
        </w:rPr>
        <w:t>Title: CEO</w:t>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to Amendment No. 1 to Sales Agreement]</w:t>
      </w:r>
    </w:p>
    <w:p>
      <w:pPr>
        <w:pStyle w:val="HorizontalLine"/>
        <w:pBdr>
          <w:bottom w:val="double" w:sz="2" w:space="0" w:color="808080"/>
        </w:pBdr>
        <w:bidi w:val="0"/>
        <w:spacing w:before="0" w:after="283"/>
        <w:jc w:val="left"/>
        <w:rPr/>
      </w:pPr>
      <w:r>
        <w:rPr/>
      </w:r>
    </w:p>
    <w:p>
      <w:pPr>
        <w:pStyle w:val="TextBody"/>
        <w:bidi w:val="0"/>
        <w:jc w:val="left"/>
        <w:rPr/>
      </w:pPr>
      <w:bookmarkStart w:id="30" w:name="tyra-ex31_1.htm"/>
      <w:bookmarkStart w:id="31" w:name="kstyraex31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Harris,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6547" w:type="dxa"/>
        <w:jc w:val="left"/>
        <w:tblInd w:w="0" w:type="dxa"/>
        <w:tblLayout w:type="fixed"/>
        <w:tblCellMar>
          <w:top w:w="28" w:type="dxa"/>
          <w:left w:w="28" w:type="dxa"/>
          <w:bottom w:w="28" w:type="dxa"/>
          <w:right w:w="28" w:type="dxa"/>
        </w:tblCellMar>
      </w:tblPr>
      <w:tblGrid>
        <w:gridCol w:w="1846"/>
        <w:gridCol w:w="109"/>
        <w:gridCol w:w="406"/>
        <w:gridCol w:w="418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tyra-ex31_2.htm"/>
      <w:bookmarkStart w:id="33" w:name="kstyraex31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Alan Fuhrman,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Tyra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tyra-ex32_1.htm"/>
      <w:bookmarkStart w:id="35" w:name="kstyraex32_1"/>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6547" w:type="dxa"/>
        <w:jc w:val="left"/>
        <w:tblInd w:w="0" w:type="dxa"/>
        <w:tblLayout w:type="fixed"/>
        <w:tblCellMar>
          <w:top w:w="28" w:type="dxa"/>
          <w:left w:w="28" w:type="dxa"/>
          <w:bottom w:w="28" w:type="dxa"/>
          <w:right w:w="28" w:type="dxa"/>
        </w:tblCellMar>
      </w:tblPr>
      <w:tblGrid>
        <w:gridCol w:w="1846"/>
        <w:gridCol w:w="109"/>
        <w:gridCol w:w="406"/>
        <w:gridCol w:w="418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Harris,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tyra-ex32_2.htm"/>
      <w:bookmarkStart w:id="37" w:name="kstyraex32_2"/>
      <w:bookmarkEnd w:id="36"/>
      <w:bookmarkEnd w:id="3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connection with the Quarterly Report of Tyra Biosciences,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pBdr/>
        <w:bidi w:val="0"/>
        <w:ind w:left="0" w:right="0" w:hanging="490"/>
        <w:jc w:val="left"/>
        <w:rPr/>
      </w:pPr>
      <w:r>
        <w:rPr/>
        <w:t> </w:t>
      </w:r>
    </w:p>
    <w:tbl>
      <w:tblPr>
        <w:tblW w:w="4462" w:type="dxa"/>
        <w:jc w:val="left"/>
        <w:tblInd w:w="0" w:type="dxa"/>
        <w:tblLayout w:type="fixed"/>
        <w:tblCellMar>
          <w:top w:w="28" w:type="dxa"/>
          <w:left w:w="28" w:type="dxa"/>
          <w:bottom w:w="28" w:type="dxa"/>
          <w:right w:w="28" w:type="dxa"/>
        </w:tblCellMar>
      </w:tblPr>
      <w:tblGrid>
        <w:gridCol w:w="1846"/>
        <w:gridCol w:w="109"/>
        <w:gridCol w:w="406"/>
        <w:gridCol w:w="21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Fuhrman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3127/000095017023009181/tyra-ex3_1.htm" TargetMode="External"/><Relationship Id="rId3" Type="http://schemas.openxmlformats.org/officeDocument/2006/relationships/hyperlink" Target="https://www.sec.gov/Archives/edgar/data/1863127/000119312524151705/d807421dex31.htm" TargetMode="External"/><Relationship Id="rId4" Type="http://schemas.openxmlformats.org/officeDocument/2006/relationships/hyperlink" Target="https://www.sec.gov/Archives/edgar/data/1863127/000119312523264152/d537796dex31.htm" TargetMode="External"/><Relationship Id="rId5" Type="http://schemas.openxmlformats.org/officeDocument/2006/relationships/hyperlink" Target="https://www.sec.gov/Archives/edgar/data/1863127/000119312521252729/d189651dex41.htm" TargetMode="External"/><Relationship Id="rId6" Type="http://schemas.openxmlformats.org/officeDocument/2006/relationships/hyperlink" Target="https://www.sec.gov/Archives/edgar/data/1863127/000119312521268272/d189651dex42.htm" TargetMode="External"/><Relationship Id="rId7" Type="http://schemas.openxmlformats.org/officeDocument/2006/relationships/hyperlink" Target="https://www.sec.gov/Archives/edgar/data/1863127/000119312524023367/d620082dex41.htm" TargetMode="External"/><Relationship Id="rId8" Type="http://schemas.openxmlformats.org/officeDocument/2006/relationships/hyperlink" Target="https://www.sec.gov/Archives/edgar/data/1863127/000119312524023367/d620082dex41.htm" TargetMode="External"/><Relationship Id="rId9" Type="http://schemas.openxmlformats.org/officeDocument/2006/relationships/hyperlink" Target="https://www.sec.gov/Archives/edgar/data/1863127/000119312524239650/d814860dex41.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21325</Words>
  <Characters>117078</Characters>
  <CharactersWithSpaces>139207</CharactersWithSpaces>
  <Paragraphs>4800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